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1CEA" w:rsidRDefault="00000000">
      <w:pPr>
        <w:pStyle w:val="Title"/>
        <w:rPr>
          <w:b/>
        </w:rPr>
      </w:pPr>
      <w:r>
        <w:rPr>
          <w:b/>
          <w:noProof/>
        </w:rPr>
        <w:drawing>
          <wp:inline distT="0" distB="0" distL="0" distR="0" wp14:anchorId="78946870" wp14:editId="707791B6">
            <wp:extent cx="2383744" cy="1191872"/>
            <wp:effectExtent l="0" t="0" r="0" b="0"/>
            <wp:docPr id="21" name="image1.jp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with medium confidence"/>
                    <pic:cNvPicPr preferRelativeResize="0"/>
                  </pic:nvPicPr>
                  <pic:blipFill>
                    <a:blip r:embed="rId9"/>
                    <a:srcRect/>
                    <a:stretch>
                      <a:fillRect/>
                    </a:stretch>
                  </pic:blipFill>
                  <pic:spPr>
                    <a:xfrm>
                      <a:off x="0" y="0"/>
                      <a:ext cx="2383744" cy="1191872"/>
                    </a:xfrm>
                    <a:prstGeom prst="rect">
                      <a:avLst/>
                    </a:prstGeom>
                    <a:ln/>
                  </pic:spPr>
                </pic:pic>
              </a:graphicData>
            </a:graphic>
          </wp:inline>
        </w:drawing>
      </w:r>
    </w:p>
    <w:p w14:paraId="00000002" w14:textId="77777777" w:rsidR="00861CEA" w:rsidRDefault="00000000">
      <w:pPr>
        <w:pStyle w:val="Title"/>
        <w:spacing w:before="0"/>
        <w:rPr>
          <w:b/>
        </w:rPr>
      </w:pPr>
      <w:r>
        <w:rPr>
          <w:b/>
        </w:rPr>
        <w:t>CANADA</w:t>
      </w:r>
      <w:r>
        <w:rPr>
          <w:b/>
        </w:rPr>
        <w:br/>
        <w:t xml:space="preserve">Humanist Association of Ottawa  </w:t>
      </w:r>
      <w:r>
        <w:rPr>
          <w:b/>
        </w:rPr>
        <w:br/>
        <w:t xml:space="preserve">Submission on the </w:t>
      </w:r>
      <w:r>
        <w:rPr>
          <w:b/>
        </w:rPr>
        <w:br/>
        <w:t>Human Rights Council Universal Periodic Review</w:t>
      </w:r>
      <w:r>
        <w:rPr>
          <w:b/>
        </w:rPr>
        <w:br/>
        <w:t>44th Session of the UPR Working Group, November 2023</w:t>
      </w:r>
    </w:p>
    <w:p w14:paraId="00000003" w14:textId="77777777" w:rsidR="00861CEA" w:rsidRDefault="00861CEA">
      <w:pPr>
        <w:pBdr>
          <w:top w:val="nil"/>
          <w:left w:val="nil"/>
          <w:bottom w:val="nil"/>
          <w:right w:val="nil"/>
          <w:between w:val="nil"/>
        </w:pBdr>
        <w:ind w:firstLine="0"/>
        <w:jc w:val="center"/>
        <w:rPr>
          <w:color w:val="000000"/>
        </w:rPr>
      </w:pPr>
    </w:p>
    <w:p w14:paraId="00000004" w14:textId="77777777" w:rsidR="00861CEA" w:rsidRDefault="00861CEA">
      <w:pPr>
        <w:pBdr>
          <w:top w:val="nil"/>
          <w:left w:val="nil"/>
          <w:bottom w:val="nil"/>
          <w:right w:val="nil"/>
          <w:between w:val="nil"/>
        </w:pBdr>
        <w:ind w:firstLine="0"/>
        <w:jc w:val="center"/>
        <w:rPr>
          <w:color w:val="000000"/>
        </w:rPr>
      </w:pPr>
    </w:p>
    <w:p w14:paraId="00000005" w14:textId="77777777" w:rsidR="00861CEA" w:rsidRDefault="00861CEA">
      <w:pPr>
        <w:spacing w:line="276" w:lineRule="auto"/>
      </w:pPr>
    </w:p>
    <w:p w14:paraId="00000006" w14:textId="77777777" w:rsidR="00861CEA" w:rsidRDefault="00000000">
      <w:pPr>
        <w:spacing w:line="276" w:lineRule="auto"/>
      </w:pPr>
      <w:r>
        <w:t>Organization: Humanist Association of Ottawa (HAO)</w:t>
      </w:r>
    </w:p>
    <w:p w14:paraId="00000007" w14:textId="77777777" w:rsidR="00861CEA" w:rsidRDefault="00000000">
      <w:pPr>
        <w:spacing w:line="276" w:lineRule="auto"/>
      </w:pPr>
      <w:r>
        <w:t xml:space="preserve">Website: </w:t>
      </w:r>
      <w:hyperlink r:id="rId10">
        <w:r>
          <w:rPr>
            <w:color w:val="5F5F5F"/>
            <w:u w:val="single"/>
          </w:rPr>
          <w:t>https://ottawahumanists.net</w:t>
        </w:r>
      </w:hyperlink>
    </w:p>
    <w:p w14:paraId="4ADAA2D6" w14:textId="4DAE99CF" w:rsidR="00821A44" w:rsidRPr="00E847C0" w:rsidRDefault="00000000" w:rsidP="00E847C0">
      <w:pPr>
        <w:spacing w:line="276" w:lineRule="auto"/>
        <w:rPr>
          <w:color w:val="5F5F5F"/>
          <w:u w:val="single"/>
        </w:rPr>
      </w:pPr>
      <w:r>
        <w:t xml:space="preserve">Email: </w:t>
      </w:r>
      <w:hyperlink r:id="rId11">
        <w:r>
          <w:rPr>
            <w:color w:val="5F5F5F"/>
            <w:u w:val="single"/>
          </w:rPr>
          <w:t>humanism062021@gmail.com</w:t>
        </w:r>
      </w:hyperlink>
    </w:p>
    <w:p w14:paraId="3DC295F0" w14:textId="77777777" w:rsidR="00E847C0" w:rsidRDefault="000D60AA">
      <w:pPr>
        <w:spacing w:line="276" w:lineRule="auto"/>
      </w:pPr>
      <w:r>
        <w:t>Phone</w:t>
      </w:r>
      <w:r w:rsidR="00E847C0">
        <w:t>: 1+613-314-1395</w:t>
      </w:r>
    </w:p>
    <w:p w14:paraId="00000009" w14:textId="327E990F" w:rsidR="00861CEA" w:rsidRDefault="00000000">
      <w:pPr>
        <w:spacing w:line="276" w:lineRule="auto"/>
      </w:pPr>
      <w:r>
        <w:t xml:space="preserve">Mailing Address: PO Box 8733 STN T Ottawa Ontario Canada K1G 3J1 </w:t>
      </w:r>
      <w:r>
        <w:br w:type="page"/>
      </w:r>
    </w:p>
    <w:p w14:paraId="0000000A" w14:textId="77777777" w:rsidR="00861CEA" w:rsidRPr="003111FE" w:rsidRDefault="00000000" w:rsidP="003111FE">
      <w:pPr>
        <w:pStyle w:val="Title2"/>
        <w:rPr>
          <w:b/>
          <w:bCs/>
        </w:rPr>
      </w:pPr>
      <w:r w:rsidRPr="003111FE">
        <w:rPr>
          <w:b/>
          <w:bCs/>
        </w:rPr>
        <w:lastRenderedPageBreak/>
        <w:t>About the Humanist Association of Ottawa</w:t>
      </w:r>
    </w:p>
    <w:p w14:paraId="0000000B" w14:textId="77777777" w:rsidR="00861CEA" w:rsidRDefault="00861CEA">
      <w:pPr>
        <w:spacing w:line="240" w:lineRule="auto"/>
        <w:jc w:val="both"/>
      </w:pPr>
    </w:p>
    <w:p w14:paraId="0000000C" w14:textId="77777777" w:rsidR="00861CEA" w:rsidRDefault="00861CEA">
      <w:pPr>
        <w:spacing w:line="276" w:lineRule="auto"/>
        <w:ind w:firstLine="0"/>
        <w:jc w:val="both"/>
        <w:rPr>
          <w:color w:val="353740"/>
        </w:rPr>
      </w:pPr>
    </w:p>
    <w:p w14:paraId="0000000D" w14:textId="379D1C43" w:rsidR="00861CEA" w:rsidRPr="00D93A36" w:rsidRDefault="00000000" w:rsidP="00D93A36">
      <w:pPr>
        <w:pStyle w:val="ListParagraph"/>
        <w:numPr>
          <w:ilvl w:val="0"/>
          <w:numId w:val="11"/>
        </w:numPr>
        <w:spacing w:line="276" w:lineRule="auto"/>
        <w:rPr>
          <w:color w:val="353740"/>
        </w:rPr>
      </w:pPr>
      <w:r w:rsidRPr="003D2657">
        <w:rPr>
          <w:color w:val="353740"/>
        </w:rPr>
        <w:t xml:space="preserve">The Humanist Association of Ottawa is a registered not-for-profit organization incorporated in 1968 that seeks to promote the cause of humanism, foster the humanist community in Ottawa, and advocate for a secular public domain. We are committed to ensuring that our guiding principles </w:t>
      </w:r>
      <w:r w:rsidR="00D93A36">
        <w:rPr>
          <w:color w:val="353740"/>
        </w:rPr>
        <w:t xml:space="preserve">– </w:t>
      </w:r>
      <w:r w:rsidRPr="00D93A36">
        <w:rPr>
          <w:color w:val="353740"/>
        </w:rPr>
        <w:t xml:space="preserve">including international human rights, critical thinking and rational thought, and environmental stewardship </w:t>
      </w:r>
      <w:r w:rsidR="00D93A36">
        <w:rPr>
          <w:color w:val="353740"/>
        </w:rPr>
        <w:t xml:space="preserve">– </w:t>
      </w:r>
      <w:r w:rsidRPr="00D93A36">
        <w:rPr>
          <w:color w:val="353740"/>
        </w:rPr>
        <w:t>are upheld in Canadian society. In this regard, we focus on social issues such as women’s reproductive rights, access to medical assistance in dying (</w:t>
      </w:r>
      <w:proofErr w:type="spellStart"/>
      <w:r w:rsidRPr="00D93A36">
        <w:rPr>
          <w:color w:val="353740"/>
        </w:rPr>
        <w:t>MAiD</w:t>
      </w:r>
      <w:proofErr w:type="spellEnd"/>
      <w:r w:rsidRPr="00D93A36">
        <w:rPr>
          <w:color w:val="353740"/>
        </w:rPr>
        <w:t>), support and assistance to secular refugees and asylum seekers, freedom of expression, a</w:t>
      </w:r>
      <w:r w:rsidR="00D93A36">
        <w:rPr>
          <w:color w:val="353740"/>
        </w:rPr>
        <w:t>s well as</w:t>
      </w:r>
      <w:r w:rsidRPr="00D93A36">
        <w:rPr>
          <w:color w:val="353740"/>
        </w:rPr>
        <w:t xml:space="preserve"> freedom of thought, </w:t>
      </w:r>
      <w:proofErr w:type="gramStart"/>
      <w:r w:rsidRPr="00D93A36">
        <w:rPr>
          <w:color w:val="353740"/>
        </w:rPr>
        <w:t>religion</w:t>
      </w:r>
      <w:proofErr w:type="gramEnd"/>
      <w:r w:rsidRPr="00D93A36">
        <w:rPr>
          <w:color w:val="353740"/>
        </w:rPr>
        <w:t xml:space="preserve"> and conscience. We recognize the importance of evidence-based approaches to address human suffering, and </w:t>
      </w:r>
      <w:r w:rsidR="00D93A36">
        <w:rPr>
          <w:color w:val="353740"/>
        </w:rPr>
        <w:t>of</w:t>
      </w:r>
      <w:r w:rsidRPr="00D93A36">
        <w:rPr>
          <w:color w:val="353740"/>
        </w:rPr>
        <w:t xml:space="preserve"> ensur</w:t>
      </w:r>
      <w:r w:rsidR="00D93A36">
        <w:rPr>
          <w:color w:val="353740"/>
        </w:rPr>
        <w:t>ing</w:t>
      </w:r>
      <w:r w:rsidRPr="00D93A36">
        <w:rPr>
          <w:color w:val="353740"/>
        </w:rPr>
        <w:t xml:space="preserve"> that all individuals have equal opportunity to maximize their potential.</w:t>
      </w:r>
    </w:p>
    <w:p w14:paraId="0000000E" w14:textId="77777777" w:rsidR="00861CEA" w:rsidRDefault="00861CEA">
      <w:pPr>
        <w:spacing w:line="276" w:lineRule="auto"/>
        <w:ind w:firstLine="0"/>
        <w:jc w:val="both"/>
        <w:rPr>
          <w:color w:val="353740"/>
        </w:rPr>
      </w:pPr>
    </w:p>
    <w:p w14:paraId="0000000F" w14:textId="7E57C62A" w:rsidR="00861CEA" w:rsidRPr="003D2657" w:rsidRDefault="00000000" w:rsidP="003D2657">
      <w:pPr>
        <w:pStyle w:val="ListParagraph"/>
        <w:numPr>
          <w:ilvl w:val="0"/>
          <w:numId w:val="11"/>
        </w:numPr>
        <w:spacing w:line="276" w:lineRule="auto"/>
        <w:rPr>
          <w:color w:val="353740"/>
        </w:rPr>
      </w:pPr>
      <w:r w:rsidRPr="003D2657">
        <w:rPr>
          <w:color w:val="353740"/>
        </w:rPr>
        <w:t>Recent examples of how we implement these principles include:</w:t>
      </w:r>
    </w:p>
    <w:p w14:paraId="00000010" w14:textId="77777777" w:rsidR="00861CEA" w:rsidRDefault="00861CEA">
      <w:pPr>
        <w:spacing w:line="276" w:lineRule="auto"/>
        <w:ind w:firstLine="0"/>
        <w:rPr>
          <w:color w:val="353740"/>
        </w:rPr>
      </w:pPr>
    </w:p>
    <w:p w14:paraId="00000011" w14:textId="45248055" w:rsidR="00861CEA" w:rsidRDefault="00000000">
      <w:pPr>
        <w:numPr>
          <w:ilvl w:val="0"/>
          <w:numId w:val="6"/>
        </w:numPr>
        <w:spacing w:line="276" w:lineRule="auto"/>
        <w:rPr>
          <w:color w:val="353740"/>
        </w:rPr>
      </w:pPr>
      <w:r>
        <w:rPr>
          <w:color w:val="353740"/>
        </w:rPr>
        <w:t>Undertaking national petitions, letter-writing, and advocacy campaigns in support of secularists, atheists, apostates, agnostics, and humanists at risk in foreign countries (</w:t>
      </w:r>
      <w:r w:rsidR="00A14FE0">
        <w:rPr>
          <w:color w:val="353740"/>
        </w:rPr>
        <w:t>November</w:t>
      </w:r>
      <w:r>
        <w:rPr>
          <w:color w:val="353740"/>
        </w:rPr>
        <w:t xml:space="preserve"> 2021</w:t>
      </w:r>
      <w:proofErr w:type="gramStart"/>
      <w:r>
        <w:rPr>
          <w:color w:val="353740"/>
        </w:rPr>
        <w:t>);</w:t>
      </w:r>
      <w:proofErr w:type="gramEnd"/>
    </w:p>
    <w:p w14:paraId="00000012" w14:textId="77777777" w:rsidR="00861CEA" w:rsidRDefault="00000000">
      <w:pPr>
        <w:numPr>
          <w:ilvl w:val="0"/>
          <w:numId w:val="6"/>
        </w:numPr>
        <w:spacing w:line="276" w:lineRule="auto"/>
        <w:rPr>
          <w:color w:val="353740"/>
        </w:rPr>
      </w:pPr>
      <w:r>
        <w:rPr>
          <w:color w:val="353740"/>
        </w:rPr>
        <w:t>Collaborating with other Canadian secular organizations in lobbying the federal government to accept secular refugees fleeing religious persecution (January 2022</w:t>
      </w:r>
      <w:proofErr w:type="gramStart"/>
      <w:r>
        <w:rPr>
          <w:color w:val="353740"/>
        </w:rPr>
        <w:t>);</w:t>
      </w:r>
      <w:proofErr w:type="gramEnd"/>
    </w:p>
    <w:p w14:paraId="0FC55E35" w14:textId="47EF28FE" w:rsidR="00D93A36" w:rsidRDefault="00D93A36" w:rsidP="00D93A36">
      <w:pPr>
        <w:numPr>
          <w:ilvl w:val="0"/>
          <w:numId w:val="6"/>
        </w:numPr>
        <w:spacing w:line="276" w:lineRule="auto"/>
        <w:rPr>
          <w:color w:val="353740"/>
        </w:rPr>
      </w:pPr>
      <w:r>
        <w:rPr>
          <w:color w:val="353740"/>
        </w:rPr>
        <w:t>Organizing counter</w:t>
      </w:r>
      <w:r>
        <w:rPr>
          <w:color w:val="353740"/>
        </w:rPr>
        <w:t>-</w:t>
      </w:r>
      <w:r>
        <w:rPr>
          <w:color w:val="353740"/>
        </w:rPr>
        <w:t>protests on Parliament Hill advocating women’s reproductive rights (May 2022)</w:t>
      </w:r>
      <w:r>
        <w:rPr>
          <w:color w:val="353740"/>
        </w:rPr>
        <w:t>; and</w:t>
      </w:r>
    </w:p>
    <w:p w14:paraId="00000013" w14:textId="4A031203" w:rsidR="00861CEA" w:rsidRDefault="00A14FE0">
      <w:pPr>
        <w:numPr>
          <w:ilvl w:val="0"/>
          <w:numId w:val="6"/>
        </w:numPr>
        <w:spacing w:line="276" w:lineRule="auto"/>
        <w:rPr>
          <w:color w:val="353740"/>
        </w:rPr>
      </w:pPr>
      <w:r>
        <w:rPr>
          <w:color w:val="353740"/>
        </w:rPr>
        <w:t xml:space="preserve">Celebrating </w:t>
      </w:r>
      <w:r w:rsidR="00420111">
        <w:rPr>
          <w:color w:val="353740"/>
        </w:rPr>
        <w:t>LGBTI</w:t>
      </w:r>
      <w:r>
        <w:rPr>
          <w:color w:val="353740"/>
        </w:rPr>
        <w:t xml:space="preserve"> rights as human rights, Ottawa Capital Pride (July 2022)</w:t>
      </w:r>
      <w:r w:rsidR="00D93A36">
        <w:rPr>
          <w:color w:val="353740"/>
        </w:rPr>
        <w:t>.</w:t>
      </w:r>
    </w:p>
    <w:p w14:paraId="00000015" w14:textId="77777777" w:rsidR="00861CEA" w:rsidRDefault="00861CEA">
      <w:pPr>
        <w:spacing w:line="276" w:lineRule="auto"/>
        <w:ind w:firstLine="0"/>
        <w:jc w:val="both"/>
        <w:rPr>
          <w:color w:val="353740"/>
        </w:rPr>
      </w:pPr>
    </w:p>
    <w:p w14:paraId="00000016" w14:textId="31EA1CBF" w:rsidR="00861CEA" w:rsidRPr="003D2657" w:rsidRDefault="00000000" w:rsidP="003D2657">
      <w:pPr>
        <w:pStyle w:val="ListParagraph"/>
        <w:numPr>
          <w:ilvl w:val="0"/>
          <w:numId w:val="11"/>
        </w:numPr>
        <w:spacing w:line="276" w:lineRule="auto"/>
        <w:rPr>
          <w:color w:val="353740"/>
        </w:rPr>
      </w:pPr>
      <w:r w:rsidRPr="003D2657">
        <w:rPr>
          <w:color w:val="353740"/>
        </w:rPr>
        <w:t xml:space="preserve">We are convinced that by taking these actions, we can help to ensure that Canadian society continues to make progress in the field of international human rights. The Humanist Association of Ottawa is dedicated to creating a world where reason and compassion guide public policy and social values. </w:t>
      </w:r>
    </w:p>
    <w:p w14:paraId="6663E12F" w14:textId="691C7B0A" w:rsidR="00A769C3" w:rsidRPr="00773EBC" w:rsidRDefault="00000000" w:rsidP="00773EBC">
      <w:pPr>
        <w:pageBreakBefore/>
        <w:pBdr>
          <w:top w:val="nil"/>
          <w:left w:val="nil"/>
          <w:bottom w:val="nil"/>
          <w:right w:val="nil"/>
          <w:between w:val="nil"/>
        </w:pBdr>
        <w:ind w:firstLine="0"/>
        <w:jc w:val="center"/>
        <w:rPr>
          <w:b/>
          <w:bCs/>
          <w:color w:val="000000"/>
        </w:rPr>
      </w:pPr>
      <w:r w:rsidRPr="00773EBC">
        <w:rPr>
          <w:b/>
          <w:bCs/>
          <w:color w:val="000000"/>
        </w:rPr>
        <w:lastRenderedPageBreak/>
        <w:t>Executive Summary</w:t>
      </w:r>
    </w:p>
    <w:p w14:paraId="2FB4D8D2" w14:textId="6B951E15" w:rsidR="00A769C3" w:rsidRDefault="00A769C3" w:rsidP="003D2657">
      <w:pPr>
        <w:pStyle w:val="ListParagraph"/>
        <w:numPr>
          <w:ilvl w:val="0"/>
          <w:numId w:val="11"/>
        </w:numPr>
        <w:pBdr>
          <w:top w:val="nil"/>
          <w:left w:val="nil"/>
          <w:bottom w:val="nil"/>
          <w:right w:val="nil"/>
          <w:between w:val="nil"/>
        </w:pBdr>
        <w:spacing w:line="276" w:lineRule="auto"/>
      </w:pPr>
      <w:r w:rsidRPr="00A769C3">
        <w:t>The Canadian legislative framework perpetuates systemic religious discrimination by providing state-funded separate school systems for minority</w:t>
      </w:r>
      <w:r w:rsidR="00036EE2">
        <w:t xml:space="preserve"> </w:t>
      </w:r>
      <w:r w:rsidR="00051B1E">
        <w:t>circumstance</w:t>
      </w:r>
      <w:r w:rsidRPr="00A769C3">
        <w:t xml:space="preserve"> Catholic and Protestant populations, in violation of the Universal Declaration of Human Rights</w:t>
      </w:r>
      <w:r w:rsidR="00773EBC">
        <w:t xml:space="preserve"> (UDHR)</w:t>
      </w:r>
      <w:r w:rsidRPr="00A769C3">
        <w:t xml:space="preserve"> and the International Covenant on Civil and Political Rights</w:t>
      </w:r>
      <w:r w:rsidR="00773EBC">
        <w:t xml:space="preserve"> (ICCPR)</w:t>
      </w:r>
      <w:r w:rsidRPr="00A769C3">
        <w:t>. Recent legal attempts to address this i</w:t>
      </w:r>
      <w:r w:rsidR="00036EE2">
        <w:t>njustice</w:t>
      </w:r>
      <w:r w:rsidRPr="00A769C3">
        <w:t xml:space="preserve"> have proven unfeasible, as evidenced by the Ontario Supreme Court</w:t>
      </w:r>
      <w:r w:rsidR="0085527C">
        <w:t>’</w:t>
      </w:r>
      <w:r w:rsidRPr="00A769C3">
        <w:t>s dismissal of a case in November 2022, further entrenching</w:t>
      </w:r>
      <w:r w:rsidR="00036EE2">
        <w:t xml:space="preserve"> flagrant</w:t>
      </w:r>
      <w:r w:rsidRPr="00A769C3">
        <w:t xml:space="preserve"> religious discrimination in Canada</w:t>
      </w:r>
      <w:r w:rsidR="0085527C">
        <w:t>’</w:t>
      </w:r>
      <w:r w:rsidRPr="00A769C3">
        <w:t>s legislation</w:t>
      </w:r>
      <w:r w:rsidR="00036EE2">
        <w:t xml:space="preserve"> and raising it to a level that demands</w:t>
      </w:r>
      <w:r w:rsidR="0085527C">
        <w:t xml:space="preserve"> </w:t>
      </w:r>
      <w:r w:rsidR="00036EE2">
        <w:t xml:space="preserve">urgent attention. </w:t>
      </w:r>
    </w:p>
    <w:p w14:paraId="65FE1D5A" w14:textId="746AE783" w:rsidR="00A769C3" w:rsidRDefault="00A769C3">
      <w:pPr>
        <w:pBdr>
          <w:top w:val="nil"/>
          <w:left w:val="nil"/>
          <w:bottom w:val="nil"/>
          <w:right w:val="nil"/>
          <w:between w:val="nil"/>
        </w:pBdr>
        <w:spacing w:line="276" w:lineRule="auto"/>
        <w:ind w:firstLine="0"/>
      </w:pPr>
    </w:p>
    <w:p w14:paraId="22CC084A" w14:textId="332A96FD" w:rsidR="00B93622" w:rsidRDefault="00B93622" w:rsidP="003D2657">
      <w:pPr>
        <w:pStyle w:val="ListParagraph"/>
        <w:numPr>
          <w:ilvl w:val="0"/>
          <w:numId w:val="11"/>
        </w:numPr>
        <w:pBdr>
          <w:top w:val="nil"/>
          <w:left w:val="nil"/>
          <w:bottom w:val="nil"/>
          <w:right w:val="nil"/>
          <w:between w:val="nil"/>
        </w:pBdr>
        <w:spacing w:line="276" w:lineRule="auto"/>
      </w:pPr>
      <w:r>
        <w:t xml:space="preserve">Canadian law governing marriage solemnization is also in clear violation of the principles of fairness, equality, and the right to freedom of thought, conscience, and religion. The existing patchwork of provincial </w:t>
      </w:r>
      <w:r w:rsidR="0085527C">
        <w:t>and territ</w:t>
      </w:r>
      <w:r w:rsidR="00540AAE">
        <w:t xml:space="preserve">orial </w:t>
      </w:r>
      <w:r>
        <w:t>regulations has created a discriminatory environment for humanists and the non-religious</w:t>
      </w:r>
      <w:r w:rsidR="0085527C">
        <w:t>;</w:t>
      </w:r>
      <w:r>
        <w:t xml:space="preserve"> only British Columbia and Ontario </w:t>
      </w:r>
      <w:r w:rsidR="00A46E3A">
        <w:t>recognize</w:t>
      </w:r>
      <w:r>
        <w:t xml:space="preserve"> humanist officiants for marriage solemnization. This inconsistency directly contradicts the principles enshrined in Canadian law and values, and is in breach of international human rights agreements, such as Articles 18 and 19 of the </w:t>
      </w:r>
      <w:r w:rsidR="00773EBC">
        <w:t>ICCPR</w:t>
      </w:r>
      <w:r>
        <w:t xml:space="preserve"> and the </w:t>
      </w:r>
      <w:r w:rsidR="00773EBC">
        <w:t>UDHR</w:t>
      </w:r>
      <w:r>
        <w:t>. The persistence of this discriminatory practice tarnishes Canada</w:t>
      </w:r>
      <w:r w:rsidR="0085527C">
        <w:t>’</w:t>
      </w:r>
      <w:r>
        <w:t>s reputation as a nation that upholds human rights and equality. Urgent action is required from the Canadian government to rectify this grievance and ensure that all citizens, regardless of their province</w:t>
      </w:r>
      <w:r w:rsidR="00540AAE">
        <w:t>/territory</w:t>
      </w:r>
      <w:r>
        <w:t xml:space="preserve"> of residence, have access to the same rights and freedoms. </w:t>
      </w:r>
    </w:p>
    <w:p w14:paraId="79FD8006" w14:textId="77777777" w:rsidR="00773EBC" w:rsidRDefault="00773EBC" w:rsidP="00B93622">
      <w:pPr>
        <w:pBdr>
          <w:top w:val="nil"/>
          <w:left w:val="nil"/>
          <w:bottom w:val="nil"/>
          <w:right w:val="nil"/>
          <w:between w:val="nil"/>
        </w:pBdr>
        <w:spacing w:line="276" w:lineRule="auto"/>
        <w:ind w:firstLine="0"/>
      </w:pPr>
    </w:p>
    <w:p w14:paraId="1E16A16C" w14:textId="06697F63" w:rsidR="00B93622" w:rsidRDefault="003111FE" w:rsidP="003D2657">
      <w:pPr>
        <w:pStyle w:val="ListParagraph"/>
        <w:numPr>
          <w:ilvl w:val="0"/>
          <w:numId w:val="11"/>
        </w:numPr>
        <w:pBdr>
          <w:top w:val="nil"/>
          <w:left w:val="nil"/>
          <w:bottom w:val="nil"/>
          <w:right w:val="nil"/>
          <w:between w:val="nil"/>
        </w:pBdr>
        <w:spacing w:line="276" w:lineRule="auto"/>
      </w:pPr>
      <w:r>
        <w:t>Accordingly,</w:t>
      </w:r>
      <w:r w:rsidR="00B93622">
        <w:t xml:space="preserve"> the HAO recommends that:</w:t>
      </w:r>
    </w:p>
    <w:p w14:paraId="653B676D" w14:textId="77777777" w:rsidR="00B93622" w:rsidRDefault="00B93622" w:rsidP="00B93622">
      <w:pPr>
        <w:pBdr>
          <w:top w:val="nil"/>
          <w:left w:val="nil"/>
          <w:bottom w:val="nil"/>
          <w:right w:val="nil"/>
          <w:between w:val="nil"/>
        </w:pBdr>
        <w:spacing w:line="276" w:lineRule="auto"/>
        <w:ind w:firstLine="0"/>
      </w:pPr>
    </w:p>
    <w:p w14:paraId="73ECD514" w14:textId="77777777" w:rsidR="002E3EB7" w:rsidRDefault="002E3EB7" w:rsidP="002E3EB7">
      <w:pPr>
        <w:numPr>
          <w:ilvl w:val="0"/>
          <w:numId w:val="3"/>
        </w:numPr>
        <w:spacing w:line="276" w:lineRule="auto"/>
      </w:pPr>
      <w:r>
        <w:rPr>
          <w:color w:val="2B2B2B"/>
        </w:rPr>
        <w:t>By November 2025, the federal government should establish a publicly accessible legal defense fund for Canadians who have human rights claim against any federal, provincial, territorial government or its agencies in matters of systemic faithism, and freedom of religion or belief.</w:t>
      </w:r>
    </w:p>
    <w:p w14:paraId="0000001A" w14:textId="656A793A" w:rsidR="00861CEA" w:rsidRDefault="002E3EB7">
      <w:pPr>
        <w:widowControl w:val="0"/>
        <w:numPr>
          <w:ilvl w:val="0"/>
          <w:numId w:val="3"/>
        </w:numPr>
        <w:spacing w:line="276" w:lineRule="auto"/>
      </w:pPr>
      <w:r>
        <w:t>By April 2026, Canada’s federal, provincial, and territorial governments establish a task force</w:t>
      </w:r>
      <w:r w:rsidR="002B1322">
        <w:t xml:space="preserve"> </w:t>
      </w:r>
      <w:r>
        <w:t xml:space="preserve">responsible </w:t>
      </w:r>
      <w:r w:rsidR="000F0DB2">
        <w:t>jointly to</w:t>
      </w:r>
      <w:r>
        <w:t xml:space="preserve"> the Canadian Human Rights Commission and The Council of </w:t>
      </w:r>
      <w:r w:rsidR="00EE1AA3">
        <w:t>t</w:t>
      </w:r>
      <w:r>
        <w:t>he Federation</w:t>
      </w:r>
      <w:r w:rsidR="002B1322">
        <w:t xml:space="preserve"> </w:t>
      </w:r>
      <w:r w:rsidR="003169AB">
        <w:t>t</w:t>
      </w:r>
      <w:r>
        <w:t xml:space="preserve">o </w:t>
      </w:r>
      <w:r w:rsidR="003169AB">
        <w:t>research and propose solutions to</w:t>
      </w:r>
      <w:r>
        <w:t xml:space="preserve"> Canada’s ongoing funding of faith-based educational institutions and establish a</w:t>
      </w:r>
      <w:r w:rsidR="00051B1E">
        <w:t>n action</w:t>
      </w:r>
      <w:r>
        <w:t xml:space="preserve"> plan</w:t>
      </w:r>
      <w:r w:rsidR="00540AAE">
        <w:t>, within three years,</w:t>
      </w:r>
      <w:r>
        <w:t xml:space="preserve"> which treats all Canadians equally and fairly</w:t>
      </w:r>
      <w:r w:rsidR="000F0DB2">
        <w:t>.</w:t>
      </w:r>
    </w:p>
    <w:p w14:paraId="0000001C" w14:textId="07B268C5" w:rsidR="00861CEA" w:rsidRDefault="002E3EB7">
      <w:pPr>
        <w:numPr>
          <w:ilvl w:val="0"/>
          <w:numId w:val="3"/>
        </w:numPr>
        <w:spacing w:line="276" w:lineRule="auto"/>
        <w:rPr>
          <w:color w:val="2B2B2B"/>
        </w:rPr>
      </w:pPr>
      <w:r>
        <w:rPr>
          <w:color w:val="2B2B2B"/>
        </w:rPr>
        <w:t>By November 2026, Canadian federal, provincial</w:t>
      </w:r>
      <w:r w:rsidR="00540AAE">
        <w:rPr>
          <w:color w:val="2B2B2B"/>
        </w:rPr>
        <w:t>,</w:t>
      </w:r>
      <w:r>
        <w:rPr>
          <w:color w:val="2B2B2B"/>
        </w:rPr>
        <w:t xml:space="preserve"> and </w:t>
      </w:r>
      <w:r w:rsidR="00540AAE">
        <w:rPr>
          <w:color w:val="2B2B2B"/>
        </w:rPr>
        <w:t>t</w:t>
      </w:r>
      <w:r>
        <w:rPr>
          <w:color w:val="2B2B2B"/>
        </w:rPr>
        <w:t xml:space="preserve">erritorial governments should hold a referendum vote on the fair treatment of all Canadians in matters of public funding of faith-based educational institutions. The referendum question should solicit the perspective of Canadians </w:t>
      </w:r>
      <w:r w:rsidR="00540AAE">
        <w:rPr>
          <w:color w:val="2B2B2B"/>
        </w:rPr>
        <w:t xml:space="preserve">as to </w:t>
      </w:r>
      <w:r>
        <w:rPr>
          <w:color w:val="2B2B2B"/>
        </w:rPr>
        <w:t>whether</w:t>
      </w:r>
      <w:r w:rsidR="00540AAE">
        <w:rPr>
          <w:color w:val="2B2B2B"/>
        </w:rPr>
        <w:t xml:space="preserve"> they support the claims of </w:t>
      </w:r>
      <w:r>
        <w:rPr>
          <w:color w:val="2B2B2B"/>
        </w:rPr>
        <w:t>constitutionality of discriminatory funding.</w:t>
      </w:r>
    </w:p>
    <w:p w14:paraId="0000001D" w14:textId="5EFE371B" w:rsidR="00861CEA" w:rsidRDefault="002E3EB7">
      <w:pPr>
        <w:numPr>
          <w:ilvl w:val="0"/>
          <w:numId w:val="3"/>
        </w:numPr>
        <w:spacing w:line="276" w:lineRule="auto"/>
        <w:rPr>
          <w:color w:val="2B2B2B"/>
        </w:rPr>
      </w:pPr>
      <w:r>
        <w:t xml:space="preserve">By November 2027, Canada’s federal, </w:t>
      </w:r>
      <w:r w:rsidR="00051B1E">
        <w:t>provincial,</w:t>
      </w:r>
      <w:r>
        <w:t xml:space="preserve"> and territorial governments </w:t>
      </w:r>
      <w:r w:rsidR="00EE1AA3">
        <w:t xml:space="preserve">agree to amend the Canadian Charter of Rights and Freedoms to </w:t>
      </w:r>
      <w:r>
        <w:t xml:space="preserve">formally assert neutrality in all </w:t>
      </w:r>
      <w:r>
        <w:lastRenderedPageBreak/>
        <w:t xml:space="preserve">matters of religion, whether </w:t>
      </w:r>
      <w:r w:rsidR="000F0DB2">
        <w:t>historically based</w:t>
      </w:r>
      <w:r>
        <w:t xml:space="preserve"> or not, and reject systemic faithism as a violation of the human rights of all Canadians. This should be advanced by a cooperative effort of The Council of </w:t>
      </w:r>
      <w:r w:rsidR="00540AAE">
        <w:t>t</w:t>
      </w:r>
      <w:r>
        <w:t>he Federation and the Prime Minister’s Office.</w:t>
      </w:r>
    </w:p>
    <w:p w14:paraId="00000024" w14:textId="22D1FB44" w:rsidR="00861CEA" w:rsidRDefault="00861CEA">
      <w:pPr>
        <w:spacing w:line="240" w:lineRule="auto"/>
        <w:ind w:firstLine="0"/>
        <w:jc w:val="both"/>
      </w:pPr>
    </w:p>
    <w:p w14:paraId="6CA12276" w14:textId="77777777" w:rsidR="00357FB5" w:rsidRDefault="00357FB5">
      <w:pPr>
        <w:spacing w:line="240" w:lineRule="auto"/>
        <w:ind w:firstLine="0"/>
        <w:jc w:val="both"/>
      </w:pPr>
    </w:p>
    <w:p w14:paraId="00000025" w14:textId="77777777" w:rsidR="00861CEA" w:rsidRDefault="00000000">
      <w:pPr>
        <w:pStyle w:val="Heading2"/>
        <w:numPr>
          <w:ilvl w:val="0"/>
          <w:numId w:val="1"/>
        </w:numPr>
        <w:spacing w:line="276" w:lineRule="auto"/>
      </w:pPr>
      <w:bookmarkStart w:id="0" w:name="_heading=h.16ubq451d6aq" w:colFirst="0" w:colLast="0"/>
      <w:bookmarkEnd w:id="0"/>
      <w:r>
        <w:t xml:space="preserve">State Implementation of Cycle 3 Recommendations regarding Freedom of Religion or Belief </w:t>
      </w:r>
    </w:p>
    <w:p w14:paraId="00000026" w14:textId="77777777" w:rsidR="00861CEA" w:rsidRDefault="00861CEA">
      <w:pPr>
        <w:spacing w:line="276" w:lineRule="auto"/>
        <w:ind w:firstLine="0"/>
        <w:jc w:val="both"/>
      </w:pPr>
    </w:p>
    <w:p w14:paraId="00000027" w14:textId="311D02D6" w:rsidR="00861CEA" w:rsidRDefault="00540AAE" w:rsidP="003D2657">
      <w:pPr>
        <w:pStyle w:val="ListParagraph"/>
        <w:numPr>
          <w:ilvl w:val="0"/>
          <w:numId w:val="11"/>
        </w:numPr>
        <w:spacing w:line="276" w:lineRule="auto"/>
      </w:pPr>
      <w:r>
        <w:t>Although</w:t>
      </w:r>
      <w:r w:rsidR="00000000">
        <w:t xml:space="preserve"> Canada has accepted </w:t>
      </w:r>
      <w:r w:rsidR="00000000" w:rsidRPr="00540AAE">
        <w:rPr>
          <w:rFonts w:asciiTheme="minorHAnsi" w:hAnsiTheme="minorHAnsi" w:cstheme="minorHAnsi"/>
        </w:rPr>
        <w:t>many</w:t>
      </w:r>
      <w:r>
        <w:rPr>
          <w:rFonts w:asciiTheme="minorHAnsi" w:hAnsiTheme="minorHAnsi" w:cstheme="minorHAnsi"/>
        </w:rPr>
        <w:t xml:space="preserve"> recommendations of the</w:t>
      </w:r>
      <w:r w:rsidR="00000000" w:rsidRPr="00540AAE">
        <w:rPr>
          <w:rFonts w:asciiTheme="minorHAnsi" w:hAnsiTheme="minorHAnsi" w:cstheme="minorHAnsi"/>
        </w:rPr>
        <w:t xml:space="preserve"> </w:t>
      </w:r>
      <w:r w:rsidRPr="00540AAE">
        <w:rPr>
          <w:rFonts w:asciiTheme="minorHAnsi" w:hAnsiTheme="minorHAnsi" w:cstheme="minorHAnsi"/>
          <w:color w:val="000000" w:themeColor="text1"/>
          <w:shd w:val="clear" w:color="auto" w:fill="FFFFFF"/>
        </w:rPr>
        <w:t>Office of the United Nations High Commissioner for Human Rights (OHCHR)</w:t>
      </w:r>
      <w:r w:rsidR="00DF3BB8">
        <w:rPr>
          <w:rStyle w:val="FootnoteReference"/>
        </w:rPr>
        <w:footnoteReference w:id="1"/>
      </w:r>
      <w:r w:rsidR="00000000">
        <w:t xml:space="preserve"> related to freedom of religion, discrimination, and inclusion in education for minorities, none of these recommendations specifically addressed religious discrimination by Canada, which takes the form of preferential treatment and legally entrenched exemptions for certain </w:t>
      </w:r>
      <w:r w:rsidR="009763BE">
        <w:t>Christian</w:t>
      </w:r>
      <w:r w:rsidR="00000000">
        <w:t xml:space="preserve"> groups. This type of </w:t>
      </w:r>
      <w:r w:rsidR="009763BE">
        <w:t xml:space="preserve">state-sanctioned </w:t>
      </w:r>
      <w:r w:rsidR="00000000">
        <w:t>discrimination not only affects non-religious individuals but also those who practice religions</w:t>
      </w:r>
      <w:r w:rsidR="009763BE">
        <w:t xml:space="preserve"> (especially non-Christian faiths) </w:t>
      </w:r>
      <w:r w:rsidR="00000000">
        <w:t>that are not specified by the Canadian legal framework.</w:t>
      </w:r>
    </w:p>
    <w:p w14:paraId="00000028" w14:textId="77777777" w:rsidR="00861CEA" w:rsidRDefault="00861CEA">
      <w:pPr>
        <w:spacing w:line="276" w:lineRule="auto"/>
        <w:ind w:left="720"/>
      </w:pPr>
    </w:p>
    <w:p w14:paraId="00000029" w14:textId="68705851" w:rsidR="00861CEA" w:rsidRDefault="00000000" w:rsidP="003D2657">
      <w:pPr>
        <w:pStyle w:val="ListParagraph"/>
        <w:numPr>
          <w:ilvl w:val="0"/>
          <w:numId w:val="11"/>
        </w:numPr>
        <w:spacing w:line="276" w:lineRule="auto"/>
      </w:pPr>
      <w:r>
        <w:t xml:space="preserve">Despite the creation of the Office of Human Rights, </w:t>
      </w:r>
      <w:proofErr w:type="gramStart"/>
      <w:r>
        <w:t>Freedoms</w:t>
      </w:r>
      <w:proofErr w:type="gramEnd"/>
      <w:r>
        <w:t xml:space="preserve"> and Inclusion (OHRFI)</w:t>
      </w:r>
      <w:r w:rsidR="00DF3BB8">
        <w:rPr>
          <w:rStyle w:val="FootnoteReference"/>
        </w:rPr>
        <w:footnoteReference w:id="2"/>
      </w:r>
      <w:r>
        <w:t xml:space="preserve"> to address freedom of religion and expression, Canada has not applied international human rights standards to address its own constitutionally entrenched religious discrimination. Although Canada co-chaired two meetings of the International Contact Group on Freedom of Religion or Belief (ICG-</w:t>
      </w:r>
      <w:proofErr w:type="spellStart"/>
      <w:r>
        <w:t>FoRB</w:t>
      </w:r>
      <w:proofErr w:type="spellEnd"/>
      <w:r>
        <w:t>)</w:t>
      </w:r>
      <w:r w:rsidR="00DF3BB8">
        <w:rPr>
          <w:rStyle w:val="FootnoteReference"/>
        </w:rPr>
        <w:footnoteReference w:id="3"/>
      </w:r>
      <w:r>
        <w:t xml:space="preserve">, these meetings did not discuss Canadian state-sanctioned religious discrimination in state-funded education. During the last UPR Review cycle, Canada did not implement any direct or indirect action to address this human rights issue, and </w:t>
      </w:r>
      <w:r w:rsidR="0032467A">
        <w:t xml:space="preserve">Canada received no recommendations and thus did not implement any actions </w:t>
      </w:r>
      <w:r>
        <w:t>regarding freedom of conscience.</w:t>
      </w:r>
      <w:r w:rsidR="00F4117C">
        <w:t xml:space="preserve"> </w:t>
      </w:r>
    </w:p>
    <w:p w14:paraId="20E3F3D7" w14:textId="70FEBFEC" w:rsidR="00357FB5" w:rsidRDefault="00357FB5">
      <w:pPr>
        <w:spacing w:line="240" w:lineRule="auto"/>
        <w:ind w:firstLine="0"/>
        <w:jc w:val="both"/>
      </w:pPr>
    </w:p>
    <w:p w14:paraId="7815A9DB" w14:textId="77777777" w:rsidR="007076B3" w:rsidRDefault="007076B3">
      <w:pPr>
        <w:spacing w:line="240" w:lineRule="auto"/>
        <w:ind w:firstLine="0"/>
        <w:jc w:val="both"/>
      </w:pPr>
    </w:p>
    <w:p w14:paraId="0000002D" w14:textId="4CC21AAA" w:rsidR="00861CEA" w:rsidRDefault="007076B3" w:rsidP="00357FB5">
      <w:pPr>
        <w:pStyle w:val="Heading1"/>
        <w:spacing w:line="240" w:lineRule="auto"/>
        <w:jc w:val="left"/>
        <w:rPr>
          <w:color w:val="353740"/>
        </w:rPr>
      </w:pPr>
      <w:bookmarkStart w:id="1" w:name="_heading=h.ypmticgtf25t" w:colFirst="0" w:colLast="0"/>
      <w:bookmarkEnd w:id="1"/>
      <w:r>
        <w:t xml:space="preserve">    </w:t>
      </w:r>
      <w:r w:rsidR="00000000">
        <w:t xml:space="preserve">B. </w:t>
      </w:r>
      <w:r>
        <w:t xml:space="preserve">  </w:t>
      </w:r>
      <w:r w:rsidR="00000000">
        <w:t>Constitutional and legislative framework: Denominational Schools</w:t>
      </w:r>
      <w:r w:rsidR="00000000">
        <w:br/>
      </w:r>
    </w:p>
    <w:p w14:paraId="0000002E" w14:textId="001250FA" w:rsidR="00861CEA" w:rsidRPr="003D2657" w:rsidRDefault="003D2657" w:rsidP="003D2657">
      <w:pPr>
        <w:pStyle w:val="ListParagraph"/>
        <w:numPr>
          <w:ilvl w:val="0"/>
          <w:numId w:val="11"/>
        </w:numPr>
        <w:spacing w:line="276" w:lineRule="auto"/>
        <w:rPr>
          <w:color w:val="353740"/>
        </w:rPr>
      </w:pPr>
      <w:r>
        <w:rPr>
          <w:color w:val="353740"/>
        </w:rPr>
        <w:t>I</w:t>
      </w:r>
      <w:r w:rsidRPr="003D2657">
        <w:rPr>
          <w:color w:val="353740"/>
        </w:rPr>
        <w:t>n defiance of the Universal Declaration of Human Rights, specifically Articles 18 and 19, the Canadian Constitution Act of 1867</w:t>
      </w:r>
      <w:r w:rsidR="00DF3BB8">
        <w:rPr>
          <w:rStyle w:val="FootnoteReference"/>
          <w:color w:val="353740"/>
        </w:rPr>
        <w:footnoteReference w:id="4"/>
      </w:r>
      <w:r w:rsidRPr="003D2657">
        <w:rPr>
          <w:color w:val="353740"/>
        </w:rPr>
        <w:t>, the Alberta</w:t>
      </w:r>
      <w:r w:rsidR="00DF3BB8">
        <w:rPr>
          <w:rStyle w:val="FootnoteReference"/>
          <w:color w:val="353740"/>
        </w:rPr>
        <w:footnoteReference w:id="5"/>
      </w:r>
      <w:r w:rsidRPr="003D2657">
        <w:rPr>
          <w:color w:val="353740"/>
        </w:rPr>
        <w:t xml:space="preserve"> and Saskatchewan Acts</w:t>
      </w:r>
      <w:r w:rsidR="00DF3BB8">
        <w:rPr>
          <w:rStyle w:val="FootnoteReference"/>
          <w:color w:val="353740"/>
        </w:rPr>
        <w:footnoteReference w:id="6"/>
      </w:r>
      <w:r w:rsidRPr="003D2657">
        <w:rPr>
          <w:color w:val="353740"/>
        </w:rPr>
        <w:t xml:space="preserve">, 1905, </w:t>
      </w:r>
      <w:r w:rsidRPr="003D2657">
        <w:rPr>
          <w:color w:val="353740"/>
        </w:rPr>
        <w:lastRenderedPageBreak/>
        <w:t>and the Nunavut Act</w:t>
      </w:r>
      <w:r w:rsidR="00DF3BB8">
        <w:rPr>
          <w:rStyle w:val="FootnoteReference"/>
          <w:color w:val="353740"/>
        </w:rPr>
        <w:footnoteReference w:id="7"/>
      </w:r>
      <w:r w:rsidRPr="003D2657">
        <w:rPr>
          <w:color w:val="353740"/>
        </w:rPr>
        <w:t>, 1993 blatantly enshrine systemic religious discrimination by providing for state-funded separate school systems for minority Catholic and Protestant populations. As a result, Ontario, Alberta, Saskatchewan, Yukon, and the Northwest Territories continue to maintain fully funded separate Catholic school boards</w:t>
      </w:r>
      <w:r w:rsidR="00AF6742">
        <w:rPr>
          <w:color w:val="353740"/>
        </w:rPr>
        <w:t xml:space="preserve"> </w:t>
      </w:r>
      <w:r w:rsidRPr="003D2657">
        <w:rPr>
          <w:color w:val="353740"/>
        </w:rPr>
        <w:t>which, distressingly, are legally allowed to engage in religious discrimination in staff hiring and student admissions</w:t>
      </w:r>
      <w:r w:rsidRPr="00837FE9">
        <w:rPr>
          <w:color w:val="353740"/>
        </w:rPr>
        <w:t xml:space="preserve">. For instance, applicants </w:t>
      </w:r>
      <w:r w:rsidR="00FB4FEC" w:rsidRPr="00837FE9">
        <w:rPr>
          <w:color w:val="353740"/>
        </w:rPr>
        <w:t xml:space="preserve">for most jobs </w:t>
      </w:r>
      <w:r w:rsidRPr="00837FE9">
        <w:rPr>
          <w:color w:val="353740"/>
        </w:rPr>
        <w:t>are</w:t>
      </w:r>
      <w:r w:rsidR="00FB4FEC" w:rsidRPr="00837FE9">
        <w:rPr>
          <w:color w:val="353740"/>
        </w:rPr>
        <w:t xml:space="preserve"> normally</w:t>
      </w:r>
      <w:r w:rsidRPr="00837FE9">
        <w:rPr>
          <w:color w:val="353740"/>
        </w:rPr>
        <w:t xml:space="preserve"> required to provide baptismal certificates</w:t>
      </w:r>
      <w:r w:rsidR="00923D93" w:rsidRPr="00837FE9">
        <w:rPr>
          <w:rStyle w:val="FootnoteReference"/>
          <w:color w:val="353740"/>
        </w:rPr>
        <w:footnoteReference w:id="8"/>
      </w:r>
      <w:r w:rsidRPr="00837FE9">
        <w:rPr>
          <w:color w:val="353740"/>
        </w:rPr>
        <w:t xml:space="preserve">, and teachers must be </w:t>
      </w:r>
      <w:r w:rsidR="00AF6742" w:rsidRPr="00837FE9">
        <w:rPr>
          <w:color w:val="353740"/>
        </w:rPr>
        <w:t>“</w:t>
      </w:r>
      <w:r w:rsidRPr="00837FE9">
        <w:rPr>
          <w:color w:val="353740"/>
        </w:rPr>
        <w:t>practicing Catholics</w:t>
      </w:r>
      <w:r w:rsidR="00AF6742" w:rsidRPr="00837FE9">
        <w:rPr>
          <w:color w:val="353740"/>
        </w:rPr>
        <w:t>”</w:t>
      </w:r>
      <w:r w:rsidR="00923D93" w:rsidRPr="00837FE9">
        <w:rPr>
          <w:rStyle w:val="FootnoteReference"/>
          <w:color w:val="353740"/>
        </w:rPr>
        <w:footnoteReference w:id="9"/>
      </w:r>
      <w:r w:rsidRPr="00837FE9">
        <w:rPr>
          <w:color w:val="353740"/>
        </w:rPr>
        <w:t xml:space="preserve"> </w:t>
      </w:r>
      <w:r w:rsidR="00837FE9">
        <w:rPr>
          <w:color w:val="353740"/>
        </w:rPr>
        <w:t>As well as the discriminatory practice of faith-based eligibility for election of Roman Catholic School Board Trustees</w:t>
      </w:r>
      <w:r w:rsidR="00837FE9">
        <w:rPr>
          <w:rStyle w:val="FootnoteReference"/>
          <w:color w:val="353740"/>
        </w:rPr>
        <w:footnoteReference w:id="10"/>
      </w:r>
      <w:r w:rsidR="00837FE9">
        <w:rPr>
          <w:color w:val="353740"/>
        </w:rPr>
        <w:t xml:space="preserve">. </w:t>
      </w:r>
      <w:r w:rsidRPr="00837FE9">
        <w:rPr>
          <w:color w:val="353740"/>
        </w:rPr>
        <w:t>This</w:t>
      </w:r>
      <w:r w:rsidRPr="003D2657">
        <w:rPr>
          <w:color w:val="353740"/>
        </w:rPr>
        <w:t xml:space="preserve"> unacceptable discrimination is further evidenced in biased curriculum, hiring practices, and school construction designs</w:t>
      </w:r>
      <w:r w:rsidR="00923D93">
        <w:rPr>
          <w:rStyle w:val="FootnoteReference"/>
          <w:color w:val="353740"/>
        </w:rPr>
        <w:footnoteReference w:id="11"/>
      </w:r>
      <w:r w:rsidRPr="003D2657">
        <w:rPr>
          <w:color w:val="353740"/>
        </w:rPr>
        <w:t xml:space="preserve"> that incorporate chapels at public expense. </w:t>
      </w:r>
      <w:r w:rsidR="00AF6742">
        <w:rPr>
          <w:color w:val="353740"/>
        </w:rPr>
        <w:t>Although</w:t>
      </w:r>
      <w:r w:rsidRPr="003D2657">
        <w:rPr>
          <w:color w:val="353740"/>
        </w:rPr>
        <w:t xml:space="preserve"> students </w:t>
      </w:r>
      <w:r w:rsidR="00FB4FEC">
        <w:rPr>
          <w:color w:val="353740"/>
        </w:rPr>
        <w:t xml:space="preserve">in some jurisdictions </w:t>
      </w:r>
      <w:r w:rsidRPr="003D2657">
        <w:rPr>
          <w:color w:val="353740"/>
        </w:rPr>
        <w:t xml:space="preserve">may theoretically opt out of mandatory religious instruction, the </w:t>
      </w:r>
      <w:r w:rsidR="009C4DE6">
        <w:rPr>
          <w:color w:val="353740"/>
        </w:rPr>
        <w:t xml:space="preserve">little used </w:t>
      </w:r>
      <w:r w:rsidRPr="003D2657">
        <w:rPr>
          <w:color w:val="353740"/>
        </w:rPr>
        <w:t xml:space="preserve">process is made </w:t>
      </w:r>
      <w:r w:rsidR="009C4DE6">
        <w:rPr>
          <w:color w:val="353740"/>
        </w:rPr>
        <w:t>onerous</w:t>
      </w:r>
      <w:r w:rsidRPr="003D2657">
        <w:rPr>
          <w:color w:val="353740"/>
        </w:rPr>
        <w:t xml:space="preserve"> through complex and demanding administrative requirements</w:t>
      </w:r>
      <w:r w:rsidR="00923D93">
        <w:rPr>
          <w:rStyle w:val="FootnoteReference"/>
          <w:color w:val="353740"/>
        </w:rPr>
        <w:footnoteReference w:id="12"/>
      </w:r>
      <w:r w:rsidRPr="003D2657">
        <w:rPr>
          <w:color w:val="353740"/>
        </w:rPr>
        <w:t>.</w:t>
      </w:r>
    </w:p>
    <w:p w14:paraId="0000002F" w14:textId="77777777" w:rsidR="00861CEA" w:rsidRDefault="00861CEA">
      <w:pPr>
        <w:spacing w:line="276" w:lineRule="auto"/>
        <w:ind w:left="720"/>
        <w:rPr>
          <w:color w:val="353740"/>
        </w:rPr>
      </w:pPr>
    </w:p>
    <w:p w14:paraId="00000030" w14:textId="25247045" w:rsidR="00861CEA" w:rsidRDefault="00000000" w:rsidP="003D2657">
      <w:pPr>
        <w:numPr>
          <w:ilvl w:val="0"/>
          <w:numId w:val="11"/>
        </w:numPr>
        <w:spacing w:line="276" w:lineRule="auto"/>
        <w:rPr>
          <w:color w:val="353740"/>
        </w:rPr>
      </w:pPr>
      <w:r>
        <w:rPr>
          <w:color w:val="353740"/>
        </w:rPr>
        <w:t>Blatantly disregarding the Universal Declaration of Human Rights</w:t>
      </w:r>
      <w:r w:rsidR="00A116B8">
        <w:rPr>
          <w:rStyle w:val="FootnoteReference"/>
          <w:color w:val="353740"/>
        </w:rPr>
        <w:footnoteReference w:id="13"/>
      </w:r>
      <w:r>
        <w:rPr>
          <w:color w:val="353740"/>
        </w:rPr>
        <w:t xml:space="preserve">, particularly Article 2 and Article 7, the Canadian constitutional and legislative framework legitimizes discriminatory practices </w:t>
      </w:r>
      <w:r w:rsidR="00923D93">
        <w:rPr>
          <w:color w:val="353740"/>
        </w:rPr>
        <w:t>known as “systemic faithism”</w:t>
      </w:r>
      <w:r w:rsidR="00923D93">
        <w:rPr>
          <w:rStyle w:val="FootnoteReference"/>
          <w:color w:val="353740"/>
        </w:rPr>
        <w:footnoteReference w:id="14"/>
      </w:r>
      <w:r w:rsidR="00923D93">
        <w:rPr>
          <w:color w:val="353740"/>
        </w:rPr>
        <w:t xml:space="preserve"> </w:t>
      </w:r>
      <w:r>
        <w:rPr>
          <w:color w:val="353740"/>
        </w:rPr>
        <w:t>by granting preferential exemption and funding to denominational schools</w:t>
      </w:r>
      <w:r w:rsidR="00923D93">
        <w:rPr>
          <w:color w:val="353740"/>
        </w:rPr>
        <w:t xml:space="preserve"> on an exclusionary basis</w:t>
      </w:r>
      <w:r>
        <w:rPr>
          <w:color w:val="353740"/>
        </w:rPr>
        <w:t>. These articles maintain that all people are entitled to equal rights and protection under the law, regardless of their religion. Additionally, the school systems violate Article 26 of the International Covenant on Civil and Political Rights</w:t>
      </w:r>
      <w:r w:rsidR="00A116B8">
        <w:rPr>
          <w:rStyle w:val="FootnoteReference"/>
          <w:color w:val="353740"/>
        </w:rPr>
        <w:footnoteReference w:id="15"/>
      </w:r>
      <w:r>
        <w:rPr>
          <w:color w:val="353740"/>
        </w:rPr>
        <w:t>, which prohibits discrimination based on religion, as well as Article 27, which mandates that minorit</w:t>
      </w:r>
      <w:r w:rsidR="00FB4FEC">
        <w:rPr>
          <w:color w:val="353740"/>
        </w:rPr>
        <w:t>y groups</w:t>
      </w:r>
      <w:r>
        <w:rPr>
          <w:color w:val="353740"/>
        </w:rPr>
        <w:t xml:space="preserve"> should not be denied the right to enjoy their own culture, practice their own religion, or use their own language. The entrenched discriminatory practices of Catholic schools are in direct </w:t>
      </w:r>
      <w:r>
        <w:rPr>
          <w:color w:val="353740"/>
        </w:rPr>
        <w:lastRenderedPageBreak/>
        <w:t>violation of these articles, as they extend special privileges to members of certain religions, while discriminating against others, including the non-religious.</w:t>
      </w:r>
    </w:p>
    <w:p w14:paraId="00000031" w14:textId="77777777" w:rsidR="00861CEA" w:rsidRDefault="00861CEA">
      <w:pPr>
        <w:spacing w:line="276" w:lineRule="auto"/>
        <w:ind w:left="720"/>
        <w:rPr>
          <w:color w:val="353740"/>
        </w:rPr>
      </w:pPr>
    </w:p>
    <w:p w14:paraId="00000032" w14:textId="7FACE036" w:rsidR="00861CEA" w:rsidRPr="00FB4FEC" w:rsidRDefault="00000000" w:rsidP="003D2657">
      <w:pPr>
        <w:numPr>
          <w:ilvl w:val="0"/>
          <w:numId w:val="11"/>
        </w:numPr>
        <w:spacing w:line="276" w:lineRule="auto"/>
        <w:rPr>
          <w:b/>
          <w:bCs/>
          <w:color w:val="353740"/>
        </w:rPr>
      </w:pPr>
      <w:r>
        <w:rPr>
          <w:color w:val="353740"/>
        </w:rPr>
        <w:t>Despite recent attempts to address religious discrimination in Canada, seeking legal remedy within the current legislative framework has proven unfeasible. This was evidenced in November 2022, when the Ontario Supreme Court dismissed a case</w:t>
      </w:r>
      <w:r w:rsidR="00220984">
        <w:rPr>
          <w:rStyle w:val="FootnoteReference"/>
          <w:color w:val="353740"/>
        </w:rPr>
        <w:footnoteReference w:id="16"/>
      </w:r>
      <w:r>
        <w:rPr>
          <w:color w:val="353740"/>
        </w:rPr>
        <w:t xml:space="preserve"> arguing that public funding of Ontario Catholic schools violated section 15(1) of the Canadian Charter of Rights and Freedoms by granting religious privilege. Justice Meyers ruled that the Supreme Court of Canada had already determined</w:t>
      </w:r>
      <w:r w:rsidR="00220984">
        <w:rPr>
          <w:rStyle w:val="FootnoteReference"/>
          <w:color w:val="353740"/>
        </w:rPr>
        <w:footnoteReference w:id="17"/>
      </w:r>
      <w:r>
        <w:rPr>
          <w:color w:val="353740"/>
        </w:rPr>
        <w:t xml:space="preserve"> that Ontario</w:t>
      </w:r>
      <w:r w:rsidR="00AF6742">
        <w:rPr>
          <w:color w:val="353740"/>
        </w:rPr>
        <w:t>’</w:t>
      </w:r>
      <w:r>
        <w:rPr>
          <w:color w:val="353740"/>
        </w:rPr>
        <w:t>s Roman Catholic minority held a</w:t>
      </w:r>
      <w:r w:rsidR="00FB4FEC">
        <w:rPr>
          <w:color w:val="353740"/>
        </w:rPr>
        <w:t xml:space="preserve"> historic</w:t>
      </w:r>
      <w:r>
        <w:rPr>
          <w:color w:val="353740"/>
        </w:rPr>
        <w:t xml:space="preserve"> constitutional right to separate school education for their children through high school, and that their children</w:t>
      </w:r>
      <w:r w:rsidR="00AF6742">
        <w:rPr>
          <w:color w:val="353740"/>
        </w:rPr>
        <w:t>’</w:t>
      </w:r>
      <w:r>
        <w:rPr>
          <w:color w:val="353740"/>
        </w:rPr>
        <w:t xml:space="preserve">s </w:t>
      </w:r>
      <w:r w:rsidR="00FB4FEC">
        <w:rPr>
          <w:color w:val="353740"/>
        </w:rPr>
        <w:t xml:space="preserve">Catholic </w:t>
      </w:r>
      <w:r>
        <w:rPr>
          <w:color w:val="353740"/>
        </w:rPr>
        <w:t xml:space="preserve">education ought to be fully and proportionately funded. This ruling perpetuates the disturbing reality of systemic </w:t>
      </w:r>
      <w:r w:rsidRPr="00FB4FEC">
        <w:rPr>
          <w:color w:val="353740"/>
        </w:rPr>
        <w:t>religious discrimination embedded in Canada</w:t>
      </w:r>
      <w:r w:rsidR="00AF6742" w:rsidRPr="00FB4FEC">
        <w:rPr>
          <w:color w:val="353740"/>
        </w:rPr>
        <w:t>’</w:t>
      </w:r>
      <w:r w:rsidRPr="00FB4FEC">
        <w:rPr>
          <w:color w:val="353740"/>
        </w:rPr>
        <w:t>s</w:t>
      </w:r>
      <w:r w:rsidR="00FB4FEC">
        <w:rPr>
          <w:color w:val="353740"/>
        </w:rPr>
        <w:t xml:space="preserve"> historic</w:t>
      </w:r>
      <w:r w:rsidRPr="00FB4FEC">
        <w:rPr>
          <w:color w:val="353740"/>
        </w:rPr>
        <w:t xml:space="preserve"> legislative framework, in direct contravention of the Universal Declaration of Human Rights.</w:t>
      </w:r>
    </w:p>
    <w:p w14:paraId="00000033" w14:textId="77777777" w:rsidR="00861CEA" w:rsidRDefault="00861CEA">
      <w:pPr>
        <w:spacing w:line="240" w:lineRule="auto"/>
        <w:ind w:firstLine="0"/>
      </w:pPr>
    </w:p>
    <w:p w14:paraId="00000034" w14:textId="77777777" w:rsidR="00861CEA" w:rsidRDefault="00861CEA">
      <w:pPr>
        <w:spacing w:line="240" w:lineRule="auto"/>
        <w:ind w:firstLine="0"/>
      </w:pPr>
    </w:p>
    <w:p w14:paraId="00000035" w14:textId="77777777" w:rsidR="00861CEA" w:rsidRDefault="00000000">
      <w:pPr>
        <w:pStyle w:val="Heading2"/>
        <w:spacing w:line="240" w:lineRule="auto"/>
      </w:pPr>
      <w:bookmarkStart w:id="2" w:name="_heading=h.hab3lwwjbr9x" w:colFirst="0" w:colLast="0"/>
      <w:bookmarkEnd w:id="2"/>
      <w:r>
        <w:t>C. Fundamental freedoms and participation in public and political life: Marriage Solemnization</w:t>
      </w:r>
    </w:p>
    <w:p w14:paraId="00000037" w14:textId="77777777" w:rsidR="00861CEA" w:rsidRDefault="00861CEA">
      <w:pPr>
        <w:spacing w:line="240" w:lineRule="auto"/>
        <w:ind w:firstLine="0"/>
      </w:pPr>
    </w:p>
    <w:p w14:paraId="00000038" w14:textId="69F35C53" w:rsidR="00861CEA" w:rsidRDefault="00000000" w:rsidP="003D2657">
      <w:pPr>
        <w:pStyle w:val="ListParagraph"/>
        <w:numPr>
          <w:ilvl w:val="0"/>
          <w:numId w:val="11"/>
        </w:numPr>
        <w:spacing w:line="276" w:lineRule="auto"/>
      </w:pPr>
      <w:r>
        <w:t>The Canadian legislative framework surrounding the solemnization of marriage</w:t>
      </w:r>
      <w:r w:rsidR="00220984">
        <w:rPr>
          <w:rStyle w:val="FootnoteReference"/>
        </w:rPr>
        <w:footnoteReference w:id="18"/>
      </w:r>
      <w:r>
        <w:t xml:space="preserve"> is in violation of the principles of fairness and equality as well as the right to freedom of thought, conscience, and religion. A patchwork of </w:t>
      </w:r>
      <w:r w:rsidR="00560194">
        <w:t>provincial</w:t>
      </w:r>
      <w:r w:rsidR="00AF6742">
        <w:t xml:space="preserve">/territorial </w:t>
      </w:r>
      <w:r>
        <w:t xml:space="preserve">regulation across the country has led to religious discrimination against humanists and the non-religious. This inconsistency in the recognition of humanist officiants for marriage solemnization is unacceptable </w:t>
      </w:r>
      <w:r w:rsidR="00AF6742">
        <w:t>because</w:t>
      </w:r>
      <w:r>
        <w:t xml:space="preserve"> it means that some Canadians are granted the right to have their marriage solemnized by a humanist officiant, while others are not.</w:t>
      </w:r>
    </w:p>
    <w:p w14:paraId="00000039" w14:textId="77777777" w:rsidR="00861CEA" w:rsidRDefault="00861CEA">
      <w:pPr>
        <w:spacing w:line="276" w:lineRule="auto"/>
        <w:ind w:firstLine="0"/>
      </w:pPr>
    </w:p>
    <w:p w14:paraId="0000003A" w14:textId="437F3223" w:rsidR="00861CEA" w:rsidRDefault="00000000" w:rsidP="00420111">
      <w:pPr>
        <w:numPr>
          <w:ilvl w:val="0"/>
          <w:numId w:val="11"/>
        </w:numPr>
        <w:spacing w:line="276" w:lineRule="auto"/>
      </w:pPr>
      <w:r>
        <w:t xml:space="preserve">The fact that only two provinces </w:t>
      </w:r>
      <w:r w:rsidR="00AF6742">
        <w:t xml:space="preserve">– </w:t>
      </w:r>
      <w:r>
        <w:t>British Columbia</w:t>
      </w:r>
      <w:r w:rsidR="00560194">
        <w:rPr>
          <w:rStyle w:val="FootnoteReference"/>
        </w:rPr>
        <w:footnoteReference w:id="19"/>
      </w:r>
      <w:r>
        <w:t xml:space="preserve"> and Ontario</w:t>
      </w:r>
      <w:r w:rsidR="00560194">
        <w:rPr>
          <w:rStyle w:val="FootnoteReference"/>
        </w:rPr>
        <w:footnoteReference w:id="20"/>
      </w:r>
      <w:r>
        <w:t xml:space="preserve">  </w:t>
      </w:r>
      <w:r w:rsidR="00420111">
        <w:t>— r</w:t>
      </w:r>
      <w:r>
        <w:t xml:space="preserve">ecognize humanist </w:t>
      </w:r>
      <w:r w:rsidR="00560194">
        <w:t xml:space="preserve">organizations as “religious bodies” in authorizing humanist </w:t>
      </w:r>
      <w:r>
        <w:t xml:space="preserve">officiants </w:t>
      </w:r>
      <w:r w:rsidR="00560194">
        <w:t>to</w:t>
      </w:r>
      <w:r>
        <w:t xml:space="preserve"> </w:t>
      </w:r>
      <w:r w:rsidR="00560194">
        <w:t>solemnize</w:t>
      </w:r>
      <w:r>
        <w:t xml:space="preserve"> marriages creates a situation where the state is not treating all citizens equally. This is a hypocritical violation of the principles of fairness and equality that are enshrined in Canadian law and values. In addition, this systemic discriminatory practice</w:t>
      </w:r>
      <w:r w:rsidR="006C55A8">
        <w:t xml:space="preserve"> </w:t>
      </w:r>
      <w:r>
        <w:t>contraven</w:t>
      </w:r>
      <w:r w:rsidR="006C55A8">
        <w:t>es</w:t>
      </w:r>
      <w:r>
        <w:t xml:space="preserve"> Articles 18 and 19 of the International Covenant on Civil and Political Rights and the Universal Declaration of Human Rights, which guarantee the right to freedom of </w:t>
      </w:r>
      <w:r>
        <w:lastRenderedPageBreak/>
        <w:t>thought, conscience, and religion</w:t>
      </w:r>
      <w:r w:rsidR="006C55A8">
        <w:t>.</w:t>
      </w:r>
      <w:r w:rsidR="006C55A8" w:rsidRPr="006C55A8">
        <w:t xml:space="preserve"> </w:t>
      </w:r>
      <w:r w:rsidR="006C55A8">
        <w:t xml:space="preserve">Canada recognized the importance of fairness in these rights when </w:t>
      </w:r>
      <w:r w:rsidR="00E32C45">
        <w:t xml:space="preserve">LGBTI </w:t>
      </w:r>
      <w:r w:rsidR="006C55A8">
        <w:t>marriage rights</w:t>
      </w:r>
      <w:r w:rsidR="00420111">
        <w:t xml:space="preserve"> </w:t>
      </w:r>
      <w:r w:rsidR="006C55A8">
        <w:t>were legalized at the federal level</w:t>
      </w:r>
      <w:r w:rsidR="006C55A8">
        <w:rPr>
          <w:rStyle w:val="FootnoteReference"/>
        </w:rPr>
        <w:footnoteReference w:id="21"/>
      </w:r>
      <w:r>
        <w:t>.</w:t>
      </w:r>
    </w:p>
    <w:p w14:paraId="2BF020F0" w14:textId="77777777" w:rsidR="00FD3544" w:rsidRDefault="00FD3544" w:rsidP="00FD3544">
      <w:pPr>
        <w:spacing w:line="276" w:lineRule="auto"/>
        <w:ind w:left="720" w:firstLine="0"/>
      </w:pPr>
    </w:p>
    <w:p w14:paraId="0000003C" w14:textId="3580DECD" w:rsidR="00861CEA" w:rsidRDefault="00000000" w:rsidP="003D2657">
      <w:pPr>
        <w:numPr>
          <w:ilvl w:val="0"/>
          <w:numId w:val="11"/>
        </w:numPr>
        <w:spacing w:line="276" w:lineRule="auto"/>
      </w:pPr>
      <w:r>
        <w:t>The existence of this discriminatory practice undermines Canada</w:t>
      </w:r>
      <w:r w:rsidR="006C55A8">
        <w:t>’</w:t>
      </w:r>
      <w:r>
        <w:t xml:space="preserve">s credibility as a nation that values human rights and equality. </w:t>
      </w:r>
      <w:r w:rsidR="006C55A8">
        <w:t>T</w:t>
      </w:r>
      <w:r>
        <w:t xml:space="preserve">he Canadian government </w:t>
      </w:r>
      <w:r w:rsidR="006C55A8">
        <w:t xml:space="preserve">should </w:t>
      </w:r>
      <w:r>
        <w:t>take immediate action to address this issue and ensure that all citizens have access to the same rights and freedoms, regardless of their province</w:t>
      </w:r>
      <w:r w:rsidR="006C55A8">
        <w:t>/territory</w:t>
      </w:r>
      <w:r>
        <w:t xml:space="preserve"> of residenc</w:t>
      </w:r>
      <w:r w:rsidR="006C55A8">
        <w:t>e</w:t>
      </w:r>
      <w:r>
        <w:t xml:space="preserve">. This could involve recognizing humanist officiants for marriage solemnization in all provinces and </w:t>
      </w:r>
      <w:r w:rsidR="00A116B8">
        <w:t>territories or</w:t>
      </w:r>
      <w:r>
        <w:t xml:space="preserve"> providing alternative means for individuals to have their marriages solemnized in a manner that aligns with their beliefs and values. It is time for Canada to eliminate this unacceptable situation and uphold its commitment to human rights and equality.</w:t>
      </w:r>
    </w:p>
    <w:p w14:paraId="0000003D" w14:textId="77777777" w:rsidR="00861CEA" w:rsidRDefault="00861CEA">
      <w:pPr>
        <w:spacing w:line="240" w:lineRule="auto"/>
        <w:ind w:firstLine="0"/>
      </w:pPr>
    </w:p>
    <w:p w14:paraId="0000003E" w14:textId="2C7A0BA3" w:rsidR="00861CEA" w:rsidRDefault="003111FE" w:rsidP="003111FE">
      <w:pPr>
        <w:pStyle w:val="NoSpacing"/>
        <w:rPr>
          <w:b/>
          <w:bCs/>
        </w:rPr>
      </w:pPr>
      <w:r w:rsidRPr="003111FE">
        <w:rPr>
          <w:b/>
          <w:bCs/>
        </w:rPr>
        <w:t>D. Recommendations</w:t>
      </w:r>
    </w:p>
    <w:p w14:paraId="6CD05152" w14:textId="552595E7" w:rsidR="002A4A82" w:rsidRDefault="002A4A82" w:rsidP="002A4A82">
      <w:pPr>
        <w:pStyle w:val="ListParagraph"/>
        <w:numPr>
          <w:ilvl w:val="0"/>
          <w:numId w:val="11"/>
        </w:numPr>
        <w:spacing w:line="276" w:lineRule="auto"/>
      </w:pPr>
      <w:r w:rsidRPr="002A4A82">
        <w:t xml:space="preserve">In view of the glaring loophole in Canada’s Constitutional and legislative framework </w:t>
      </w:r>
      <w:proofErr w:type="gramStart"/>
      <w:r w:rsidR="006C55A8">
        <w:t>with regard to</w:t>
      </w:r>
      <w:proofErr w:type="gramEnd"/>
      <w:r w:rsidR="006C55A8">
        <w:t xml:space="preserve"> </w:t>
      </w:r>
      <w:r w:rsidRPr="002A4A82">
        <w:t>human right</w:t>
      </w:r>
      <w:r>
        <w:t>s, the</w:t>
      </w:r>
      <w:r w:rsidRPr="002A4A82">
        <w:t xml:space="preserve"> HAO recommend</w:t>
      </w:r>
      <w:r>
        <w:t>s that Canada:</w:t>
      </w:r>
    </w:p>
    <w:p w14:paraId="4021B741" w14:textId="688018E5" w:rsidR="002A4A82" w:rsidRDefault="002A4A82" w:rsidP="002A4A82">
      <w:pPr>
        <w:spacing w:line="276" w:lineRule="auto"/>
        <w:ind w:firstLine="0"/>
      </w:pPr>
    </w:p>
    <w:p w14:paraId="7A2E3E4D" w14:textId="7BDC6272" w:rsidR="00EE1AA3" w:rsidRDefault="00EE1AA3" w:rsidP="009E558C">
      <w:pPr>
        <w:numPr>
          <w:ilvl w:val="0"/>
          <w:numId w:val="13"/>
        </w:numPr>
        <w:spacing w:line="276" w:lineRule="auto"/>
      </w:pPr>
      <w:r>
        <w:rPr>
          <w:color w:val="2B2B2B"/>
        </w:rPr>
        <w:t xml:space="preserve">Establish by </w:t>
      </w:r>
      <w:r>
        <w:rPr>
          <w:color w:val="2B2B2B"/>
        </w:rPr>
        <w:t>November</w:t>
      </w:r>
      <w:r>
        <w:rPr>
          <w:color w:val="2B2B2B"/>
        </w:rPr>
        <w:t xml:space="preserve"> 2025 a publicly accessible legal defense fund for Canadians who have human rights claims against any federal/provincial/territorial government or its agencies in matters of systemic faithism, and freedom of religion or belief.</w:t>
      </w:r>
    </w:p>
    <w:p w14:paraId="33664317" w14:textId="43BC1EF4" w:rsidR="002A4A82" w:rsidRDefault="002A4A82" w:rsidP="009E558C">
      <w:pPr>
        <w:widowControl w:val="0"/>
        <w:numPr>
          <w:ilvl w:val="0"/>
          <w:numId w:val="13"/>
        </w:numPr>
        <w:spacing w:line="276" w:lineRule="auto"/>
      </w:pPr>
      <w:r>
        <w:t xml:space="preserve">Establish by </w:t>
      </w:r>
      <w:r w:rsidR="00980786">
        <w:t>April</w:t>
      </w:r>
      <w:r>
        <w:t xml:space="preserve"> 2026 a task force responsible jointly to the Canadian Human Rights Commission and The Council of </w:t>
      </w:r>
      <w:r w:rsidR="006C55A8">
        <w:t>t</w:t>
      </w:r>
      <w:r>
        <w:t>he Federation to research and propose solutions to Canada’s ongoing funding of faith-based educational institutions and establish a</w:t>
      </w:r>
      <w:r w:rsidR="001D0554">
        <w:t xml:space="preserve">n action-oriented </w:t>
      </w:r>
      <w:r>
        <w:t>plan</w:t>
      </w:r>
      <w:r w:rsidR="006C55A8">
        <w:t>,</w:t>
      </w:r>
      <w:r>
        <w:t xml:space="preserve"> </w:t>
      </w:r>
      <w:r w:rsidR="006C55A8">
        <w:t xml:space="preserve">within three years, </w:t>
      </w:r>
      <w:r>
        <w:t>which treats all Canadians equally and fairly.</w:t>
      </w:r>
    </w:p>
    <w:p w14:paraId="524EF708" w14:textId="5FB9B013" w:rsidR="00BC0841" w:rsidRPr="009E558C" w:rsidRDefault="00BC0841" w:rsidP="009E558C">
      <w:pPr>
        <w:numPr>
          <w:ilvl w:val="0"/>
          <w:numId w:val="13"/>
        </w:numPr>
        <w:spacing w:line="276" w:lineRule="auto"/>
        <w:rPr>
          <w:color w:val="2B2B2B"/>
        </w:rPr>
      </w:pPr>
      <w:r>
        <w:rPr>
          <w:color w:val="2B2B2B"/>
        </w:rPr>
        <w:t>By November 2026, h</w:t>
      </w:r>
      <w:r w:rsidR="002A4A82">
        <w:rPr>
          <w:color w:val="2B2B2B"/>
        </w:rPr>
        <w:t xml:space="preserve">old a </w:t>
      </w:r>
      <w:r w:rsidR="006C55A8">
        <w:rPr>
          <w:color w:val="2B2B2B"/>
        </w:rPr>
        <w:t xml:space="preserve">referendum </w:t>
      </w:r>
      <w:r w:rsidR="00FB4FEC">
        <w:rPr>
          <w:color w:val="2B2B2B"/>
        </w:rPr>
        <w:t>v</w:t>
      </w:r>
      <w:r w:rsidR="002A4A82">
        <w:rPr>
          <w:color w:val="2B2B2B"/>
        </w:rPr>
        <w:t xml:space="preserve">ote on the fair treatment of all Canadians in matters of public funding of faith-based educational institutions. The </w:t>
      </w:r>
      <w:r w:rsidR="006C55A8">
        <w:rPr>
          <w:color w:val="2B2B2B"/>
        </w:rPr>
        <w:t>referendum</w:t>
      </w:r>
      <w:r w:rsidR="002A4A82">
        <w:rPr>
          <w:color w:val="2B2B2B"/>
        </w:rPr>
        <w:t xml:space="preserve"> question should solicit the perspective of Canadians</w:t>
      </w:r>
      <w:r w:rsidR="006C55A8">
        <w:rPr>
          <w:color w:val="2B2B2B"/>
        </w:rPr>
        <w:t xml:space="preserve"> as to</w:t>
      </w:r>
      <w:r w:rsidR="002A4A82">
        <w:rPr>
          <w:color w:val="2B2B2B"/>
        </w:rPr>
        <w:t xml:space="preserve"> whether </w:t>
      </w:r>
      <w:r w:rsidR="006C55A8">
        <w:rPr>
          <w:color w:val="2B2B2B"/>
        </w:rPr>
        <w:t xml:space="preserve">they support </w:t>
      </w:r>
      <w:r w:rsidR="002A4A82">
        <w:rPr>
          <w:color w:val="2B2B2B"/>
        </w:rPr>
        <w:t>the claims of constitutionality of discriminatory funding</w:t>
      </w:r>
      <w:r w:rsidR="006C55A8">
        <w:rPr>
          <w:color w:val="2B2B2B"/>
        </w:rPr>
        <w:t>.</w:t>
      </w:r>
    </w:p>
    <w:p w14:paraId="4FC8F08B" w14:textId="41822C25" w:rsidR="00BC0841" w:rsidRPr="00BC0841" w:rsidRDefault="00BC0841" w:rsidP="002A4A82">
      <w:pPr>
        <w:numPr>
          <w:ilvl w:val="0"/>
          <w:numId w:val="13"/>
        </w:numPr>
        <w:spacing w:line="276" w:lineRule="auto"/>
        <w:rPr>
          <w:color w:val="2B2B2B"/>
        </w:rPr>
      </w:pPr>
      <w:r>
        <w:t xml:space="preserve">By November 2027, amend the Canadian Charter of Rights and Freedoms to formally assert neutrality in all matters of religion, whether historically based or not, and reject systemic faithism as a violation of the human rights of all Canadians. </w:t>
      </w:r>
    </w:p>
    <w:p w14:paraId="1547F2B2" w14:textId="71A4B83E" w:rsidR="002A4A82" w:rsidRDefault="002A4A82" w:rsidP="00BC0841">
      <w:pPr>
        <w:spacing w:line="276" w:lineRule="auto"/>
        <w:ind w:firstLine="0"/>
        <w:rPr>
          <w:color w:val="2B2B2B"/>
        </w:rPr>
      </w:pPr>
    </w:p>
    <w:p w14:paraId="573D1F94" w14:textId="5EF150BF" w:rsidR="009E558C" w:rsidRDefault="009E558C" w:rsidP="00BC0841">
      <w:pPr>
        <w:spacing w:line="276" w:lineRule="auto"/>
        <w:ind w:firstLine="0"/>
        <w:rPr>
          <w:color w:val="2B2B2B"/>
        </w:rPr>
      </w:pPr>
    </w:p>
    <w:p w14:paraId="6AB3A360" w14:textId="088F7A9C" w:rsidR="009E558C" w:rsidRDefault="009E558C" w:rsidP="00BC0841">
      <w:pPr>
        <w:spacing w:line="276" w:lineRule="auto"/>
        <w:ind w:firstLine="0"/>
        <w:rPr>
          <w:color w:val="2B2B2B"/>
        </w:rPr>
      </w:pPr>
    </w:p>
    <w:p w14:paraId="035F7942" w14:textId="77777777" w:rsidR="009E558C" w:rsidRPr="00BC0841" w:rsidRDefault="009E558C" w:rsidP="00BC0841">
      <w:pPr>
        <w:spacing w:line="276" w:lineRule="auto"/>
        <w:ind w:firstLine="0"/>
        <w:rPr>
          <w:color w:val="2B2B2B"/>
        </w:rPr>
      </w:pPr>
    </w:p>
    <w:p w14:paraId="7319B8AA" w14:textId="748BC891" w:rsidR="002A4A82" w:rsidRPr="00491A93" w:rsidRDefault="00491A93" w:rsidP="00491A93">
      <w:pPr>
        <w:spacing w:line="276" w:lineRule="auto"/>
        <w:ind w:firstLine="0"/>
        <w:rPr>
          <w:b/>
          <w:bCs/>
        </w:rPr>
      </w:pPr>
      <w:r w:rsidRPr="00491A93">
        <w:rPr>
          <w:b/>
          <w:bCs/>
        </w:rPr>
        <w:lastRenderedPageBreak/>
        <w:t>For more details, information, or evidence, contact:</w:t>
      </w:r>
    </w:p>
    <w:p w14:paraId="56DBAF67" w14:textId="56E5DB65" w:rsidR="00491A93" w:rsidRPr="00491A93" w:rsidRDefault="00491A93">
      <w:pPr>
        <w:spacing w:line="276" w:lineRule="auto"/>
        <w:rPr>
          <w:b/>
          <w:bCs/>
        </w:rPr>
      </w:pPr>
    </w:p>
    <w:p w14:paraId="178A767A" w14:textId="46E3BA14" w:rsidR="00491A93" w:rsidRPr="009119C7" w:rsidRDefault="00491A93" w:rsidP="00491A93">
      <w:pPr>
        <w:spacing w:line="276" w:lineRule="auto"/>
        <w:ind w:left="720" w:firstLine="0"/>
      </w:pPr>
      <w:r w:rsidRPr="009119C7">
        <w:t>Robert Hamilton</w:t>
      </w:r>
    </w:p>
    <w:p w14:paraId="2966718D" w14:textId="15C4209F" w:rsidR="00491A93" w:rsidRPr="009119C7" w:rsidRDefault="00491A93" w:rsidP="00491A93">
      <w:pPr>
        <w:spacing w:line="276" w:lineRule="auto"/>
        <w:ind w:left="720" w:firstLine="0"/>
      </w:pPr>
      <w:r w:rsidRPr="009119C7">
        <w:t>President</w:t>
      </w:r>
    </w:p>
    <w:p w14:paraId="20243447" w14:textId="0146A7AB" w:rsidR="00491A93" w:rsidRPr="009119C7" w:rsidRDefault="00491A93" w:rsidP="00491A93">
      <w:pPr>
        <w:spacing w:line="276" w:lineRule="auto"/>
        <w:ind w:left="720" w:firstLine="0"/>
      </w:pPr>
      <w:r w:rsidRPr="009119C7">
        <w:t>Humanist Association of Ottawa</w:t>
      </w:r>
    </w:p>
    <w:p w14:paraId="5351AB1C" w14:textId="183AAEAA" w:rsidR="009119C7" w:rsidRDefault="009119C7" w:rsidP="00491A93">
      <w:pPr>
        <w:spacing w:line="276" w:lineRule="auto"/>
        <w:ind w:left="720" w:firstLine="0"/>
      </w:pPr>
      <w:r>
        <w:t xml:space="preserve">Email: </w:t>
      </w:r>
      <w:hyperlink r:id="rId12" w:history="1">
        <w:r w:rsidR="00D83320" w:rsidRPr="00CC5792">
          <w:rPr>
            <w:rStyle w:val="Hyperlink"/>
          </w:rPr>
          <w:t>humanism062021@gmail.com</w:t>
        </w:r>
      </w:hyperlink>
    </w:p>
    <w:p w14:paraId="0E9B008C" w14:textId="176330BE" w:rsidR="00491A93" w:rsidRPr="009119C7" w:rsidRDefault="009119C7" w:rsidP="00D83320">
      <w:pPr>
        <w:spacing w:line="276" w:lineRule="auto"/>
      </w:pPr>
      <w:r>
        <w:t xml:space="preserve">Phone: </w:t>
      </w:r>
      <w:r w:rsidR="00491A93" w:rsidRPr="009119C7">
        <w:t>1+613-314-1395</w:t>
      </w:r>
    </w:p>
    <w:p w14:paraId="24EB1A77" w14:textId="4072B252" w:rsidR="009119C7" w:rsidRPr="009119C7" w:rsidRDefault="009119C7" w:rsidP="009119C7">
      <w:pPr>
        <w:spacing w:line="276" w:lineRule="auto"/>
        <w:ind w:left="720" w:firstLine="0"/>
      </w:pPr>
      <w:r>
        <w:t xml:space="preserve">Website: </w:t>
      </w:r>
      <w:hyperlink r:id="rId13" w:history="1">
        <w:r w:rsidRPr="00CC5792">
          <w:rPr>
            <w:rStyle w:val="Hyperlink"/>
          </w:rPr>
          <w:t>https://ottawahuman</w:t>
        </w:r>
        <w:r w:rsidRPr="00CC5792">
          <w:rPr>
            <w:rStyle w:val="Hyperlink"/>
          </w:rPr>
          <w:t>i</w:t>
        </w:r>
        <w:r w:rsidRPr="00CC5792">
          <w:rPr>
            <w:rStyle w:val="Hyperlink"/>
          </w:rPr>
          <w:t>sts.net</w:t>
        </w:r>
      </w:hyperlink>
    </w:p>
    <w:sectPr w:rsidR="009119C7" w:rsidRPr="009119C7">
      <w:headerReference w:type="default" r:id="rId14"/>
      <w:footerReference w:type="default" r:id="rId15"/>
      <w:head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DD4F" w14:textId="77777777" w:rsidR="003A3477" w:rsidRDefault="003A3477">
      <w:pPr>
        <w:spacing w:line="240" w:lineRule="auto"/>
      </w:pPr>
      <w:r>
        <w:separator/>
      </w:r>
    </w:p>
  </w:endnote>
  <w:endnote w:type="continuationSeparator" w:id="0">
    <w:p w14:paraId="5CDA4275" w14:textId="77777777" w:rsidR="003A3477" w:rsidRDefault="003A3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E" w14:textId="47D95B67" w:rsidR="00861CEA" w:rsidRDefault="00000000">
    <w:pPr>
      <w:jc w:val="right"/>
    </w:pPr>
    <w:r>
      <w:fldChar w:fldCharType="begin"/>
    </w:r>
    <w:r>
      <w:instrText>PAGE</w:instrText>
    </w:r>
    <w:r>
      <w:fldChar w:fldCharType="separate"/>
    </w:r>
    <w:r w:rsidR="00417C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C9C0" w14:textId="77777777" w:rsidR="003A3477" w:rsidRDefault="003A3477">
      <w:pPr>
        <w:spacing w:line="240" w:lineRule="auto"/>
      </w:pPr>
      <w:r>
        <w:separator/>
      </w:r>
    </w:p>
  </w:footnote>
  <w:footnote w:type="continuationSeparator" w:id="0">
    <w:p w14:paraId="6F25FE14" w14:textId="77777777" w:rsidR="003A3477" w:rsidRDefault="003A3477">
      <w:pPr>
        <w:spacing w:line="240" w:lineRule="auto"/>
      </w:pPr>
      <w:r>
        <w:continuationSeparator/>
      </w:r>
    </w:p>
  </w:footnote>
  <w:footnote w:id="1">
    <w:p w14:paraId="2ACBA321" w14:textId="2F99BB4B" w:rsidR="00DF3BB8" w:rsidRPr="00DF3BB8" w:rsidRDefault="00DF3BB8">
      <w:pPr>
        <w:pStyle w:val="FootnoteText"/>
        <w:rPr>
          <w:lang w:val="en-CA"/>
        </w:rPr>
      </w:pPr>
      <w:r>
        <w:rPr>
          <w:rStyle w:val="FootnoteReference"/>
        </w:rPr>
        <w:footnoteRef/>
      </w:r>
      <w:r>
        <w:t xml:space="preserve"> </w:t>
      </w:r>
      <w:r w:rsidR="00E53549">
        <w:rPr>
          <w:lang w:val="en-CA"/>
        </w:rPr>
        <w:t xml:space="preserve">In UPR Cycle 3, Canada received 11 recommendations citing discrimination </w:t>
      </w:r>
      <w:r w:rsidR="004C4B46">
        <w:rPr>
          <w:lang w:val="en-CA"/>
        </w:rPr>
        <w:t>in</w:t>
      </w:r>
      <w:r w:rsidR="00E53549">
        <w:rPr>
          <w:lang w:val="en-CA"/>
        </w:rPr>
        <w:t xml:space="preserve"> any form.  </w:t>
      </w:r>
    </w:p>
  </w:footnote>
  <w:footnote w:id="2">
    <w:p w14:paraId="42510879" w14:textId="070232A2" w:rsidR="00F4117C" w:rsidRPr="00F4117C" w:rsidRDefault="00DF3BB8" w:rsidP="00F4117C">
      <w:pPr>
        <w:pStyle w:val="FootnoteText"/>
        <w:rPr>
          <w:lang w:val="en-CA"/>
        </w:rPr>
      </w:pPr>
      <w:r>
        <w:rPr>
          <w:rStyle w:val="FootnoteReference"/>
        </w:rPr>
        <w:footnoteRef/>
      </w:r>
      <w:r w:rsidR="00CF64A3">
        <w:rPr>
          <w:lang w:val="en-CA"/>
        </w:rPr>
        <w:t xml:space="preserve"> </w:t>
      </w:r>
      <w:r w:rsidR="00F4117C" w:rsidRPr="00F4117C">
        <w:rPr>
          <w:lang w:val="en-CA"/>
        </w:rPr>
        <w:t xml:space="preserve">Office of Human Rights, </w:t>
      </w:r>
      <w:proofErr w:type="gramStart"/>
      <w:r w:rsidR="00F4117C" w:rsidRPr="00F4117C">
        <w:rPr>
          <w:lang w:val="en-CA"/>
        </w:rPr>
        <w:t>Freedoms</w:t>
      </w:r>
      <w:proofErr w:type="gramEnd"/>
      <w:r w:rsidR="00F4117C" w:rsidRPr="00F4117C">
        <w:rPr>
          <w:lang w:val="en-CA"/>
        </w:rPr>
        <w:t xml:space="preserve"> and Inclusion</w:t>
      </w:r>
    </w:p>
    <w:p w14:paraId="46230F77" w14:textId="39BEF448" w:rsidR="00DB343D" w:rsidRPr="00DF3BB8" w:rsidRDefault="00DF3BB8" w:rsidP="00E53549">
      <w:pPr>
        <w:pStyle w:val="FootnoteText"/>
        <w:ind w:left="720" w:firstLine="0"/>
        <w:rPr>
          <w:lang w:val="en-CA"/>
        </w:rPr>
      </w:pPr>
      <w:r>
        <w:t xml:space="preserve"> </w:t>
      </w:r>
      <w:hyperlink r:id="rId1" w:history="1">
        <w:r w:rsidR="00DB343D" w:rsidRPr="00CC5792">
          <w:rPr>
            <w:rStyle w:val="Hyperlink"/>
          </w:rPr>
          <w:t>https://www.international.gc.ca/world-</w:t>
        </w:r>
        <w:r w:rsidR="00DB343D" w:rsidRPr="00CC5792">
          <w:rPr>
            <w:rStyle w:val="Hyperlink"/>
          </w:rPr>
          <w:t>m</w:t>
        </w:r>
        <w:r w:rsidR="00DB343D" w:rsidRPr="00CC5792">
          <w:rPr>
            <w:rStyle w:val="Hyperlink"/>
          </w:rPr>
          <w:t>onde/issues_development-enjeux_developpement/human_rights-droits_homme/freedom_religion-liberte_religion.aspx?lang=eng</w:t>
        </w:r>
      </w:hyperlink>
    </w:p>
  </w:footnote>
  <w:footnote w:id="3">
    <w:p w14:paraId="27131BBC" w14:textId="7A5D2E4A" w:rsidR="00DB343D" w:rsidRPr="00DB343D" w:rsidRDefault="00DF3BB8" w:rsidP="00DB343D">
      <w:pPr>
        <w:pStyle w:val="FootnoteText"/>
        <w:ind w:left="720" w:firstLine="0"/>
      </w:pPr>
      <w:r>
        <w:rPr>
          <w:rStyle w:val="FootnoteReference"/>
        </w:rPr>
        <w:footnoteRef/>
      </w:r>
      <w:r w:rsidR="00CF64A3">
        <w:t xml:space="preserve"> </w:t>
      </w:r>
      <w:r w:rsidR="00F4117C" w:rsidRPr="00F4117C">
        <w:t>International Contact Group on Freedom of Religion or Belief</w:t>
      </w:r>
      <w:r>
        <w:t xml:space="preserve"> </w:t>
      </w:r>
      <w:hyperlink r:id="rId2" w:history="1">
        <w:r w:rsidR="00DB343D" w:rsidRPr="00CC5792">
          <w:rPr>
            <w:rStyle w:val="Hyperlink"/>
          </w:rPr>
          <w:t>https://www.international.gc.ca/world-monde/issues_development-enjeux_developpement/human_rights-droits_homme/freedom-religion-liberte-group_groupe.aspx?lang=eng</w:t>
        </w:r>
      </w:hyperlink>
    </w:p>
  </w:footnote>
  <w:footnote w:id="4">
    <w:p w14:paraId="658ACC0E" w14:textId="3D513A55" w:rsidR="00F4117C" w:rsidRPr="00DF3BB8" w:rsidRDefault="00DF3BB8" w:rsidP="00F4117C">
      <w:pPr>
        <w:pStyle w:val="FootnoteText"/>
        <w:rPr>
          <w:lang w:val="en-CA"/>
        </w:rPr>
      </w:pPr>
      <w:r>
        <w:rPr>
          <w:rStyle w:val="FootnoteReference"/>
        </w:rPr>
        <w:footnoteRef/>
      </w:r>
      <w:r>
        <w:t xml:space="preserve"> </w:t>
      </w:r>
      <w:r>
        <w:rPr>
          <w:lang w:val="en-CA"/>
        </w:rPr>
        <w:t>Constitution Act, 1867</w:t>
      </w:r>
      <w:r w:rsidR="00FD3544">
        <w:rPr>
          <w:lang w:val="en-CA"/>
        </w:rPr>
        <w:t>, 30 &amp; 31 Victoria, c 3</w:t>
      </w:r>
      <w:r w:rsidR="00F4117C">
        <w:rPr>
          <w:lang w:val="en-CA"/>
        </w:rPr>
        <w:t xml:space="preserve"> </w:t>
      </w:r>
      <w:hyperlink r:id="rId3" w:history="1">
        <w:r w:rsidR="00F4117C" w:rsidRPr="00CC5792">
          <w:rPr>
            <w:rStyle w:val="Hyperlink"/>
            <w:lang w:val="en-CA"/>
          </w:rPr>
          <w:t>https://laws-l</w:t>
        </w:r>
        <w:r w:rsidR="00F4117C" w:rsidRPr="00CC5792">
          <w:rPr>
            <w:rStyle w:val="Hyperlink"/>
            <w:lang w:val="en-CA"/>
          </w:rPr>
          <w:t>o</w:t>
        </w:r>
        <w:r w:rsidR="00F4117C" w:rsidRPr="00CC5792">
          <w:rPr>
            <w:rStyle w:val="Hyperlink"/>
            <w:lang w:val="en-CA"/>
          </w:rPr>
          <w:t>is.justice.gc.ca/eng/const/page-1.html</w:t>
        </w:r>
      </w:hyperlink>
    </w:p>
  </w:footnote>
  <w:footnote w:id="5">
    <w:p w14:paraId="4335327B" w14:textId="0BB0867F" w:rsidR="00F8309E" w:rsidRPr="00F8309E" w:rsidRDefault="00DF3BB8" w:rsidP="00F8309E">
      <w:pPr>
        <w:pStyle w:val="FootnoteText"/>
        <w:ind w:left="720" w:firstLine="0"/>
        <w:rPr>
          <w:lang w:val="en-CA"/>
        </w:rPr>
      </w:pPr>
      <w:r>
        <w:rPr>
          <w:rStyle w:val="FootnoteReference"/>
        </w:rPr>
        <w:footnoteRef/>
      </w:r>
      <w:r>
        <w:t xml:space="preserve"> </w:t>
      </w:r>
      <w:r w:rsidR="00F8309E" w:rsidRPr="00F8309E">
        <w:rPr>
          <w:lang w:val="en-CA"/>
        </w:rPr>
        <w:t>The Alberta Act, 1905, 4-5 Edw. VII, c. 3 (Can.)</w:t>
      </w:r>
      <w:r w:rsidR="00F8309E" w:rsidRPr="00F8309E">
        <w:rPr>
          <w:lang w:val="en-CA"/>
        </w:rPr>
        <w:t xml:space="preserve"> </w:t>
      </w:r>
      <w:hyperlink r:id="rId4" w:history="1">
        <w:r w:rsidR="00F8309E" w:rsidRPr="00CC5792">
          <w:rPr>
            <w:rStyle w:val="Hyperlink"/>
            <w:lang w:val="en-CA"/>
          </w:rPr>
          <w:t>https://www.justice.gc.ca/eng/rp-pr/csj-sjc/constitution/lawreg-loireg/p1t121.html</w:t>
        </w:r>
      </w:hyperlink>
    </w:p>
  </w:footnote>
  <w:footnote w:id="6">
    <w:p w14:paraId="5E410DAE" w14:textId="400AD1B2" w:rsidR="00BF5A0F" w:rsidRDefault="00DF3BB8" w:rsidP="004B5945">
      <w:pPr>
        <w:pStyle w:val="FootnoteText"/>
        <w:ind w:left="720" w:firstLine="0"/>
      </w:pPr>
      <w:r>
        <w:rPr>
          <w:rStyle w:val="FootnoteReference"/>
        </w:rPr>
        <w:footnoteRef/>
      </w:r>
      <w:r>
        <w:t xml:space="preserve"> </w:t>
      </w:r>
      <w:r w:rsidR="00BF5A0F" w:rsidRPr="00BF5A0F">
        <w:t>The Saskatchewan Act, 1905, 4-5 Edw. VII, c. 42 (Can.)</w:t>
      </w:r>
      <w:r w:rsidR="00BF5A0F">
        <w:t xml:space="preserve"> </w:t>
      </w:r>
      <w:hyperlink r:id="rId5" w:history="1">
        <w:r w:rsidR="004B5945" w:rsidRPr="00CC5792">
          <w:rPr>
            <w:rStyle w:val="Hyperlink"/>
          </w:rPr>
          <w:t>https://www.justice.gc.ca/eng/rp-pr/csj-sjc/constitution/lawreg-loireg/p1t131.html</w:t>
        </w:r>
      </w:hyperlink>
    </w:p>
    <w:p w14:paraId="27D57063" w14:textId="77777777" w:rsidR="004B5945" w:rsidRPr="00BF5A0F" w:rsidRDefault="004B5945" w:rsidP="00BF5A0F">
      <w:pPr>
        <w:pStyle w:val="FootnoteText"/>
      </w:pPr>
    </w:p>
    <w:p w14:paraId="7B7522D7" w14:textId="00B6C526" w:rsidR="00DF3BB8" w:rsidRPr="00DF3BB8" w:rsidRDefault="00DF3BB8">
      <w:pPr>
        <w:pStyle w:val="FootnoteText"/>
        <w:rPr>
          <w:lang w:val="en-CA"/>
        </w:rPr>
      </w:pPr>
    </w:p>
  </w:footnote>
  <w:footnote w:id="7">
    <w:p w14:paraId="315A18AE" w14:textId="1060FF3A" w:rsidR="003E544D" w:rsidRPr="003E544D" w:rsidRDefault="00DF3BB8" w:rsidP="003E544D">
      <w:pPr>
        <w:pStyle w:val="FootnoteText"/>
        <w:rPr>
          <w:b/>
          <w:bCs/>
          <w:lang w:val="en-CA"/>
        </w:rPr>
      </w:pPr>
      <w:r>
        <w:rPr>
          <w:rStyle w:val="FootnoteReference"/>
        </w:rPr>
        <w:footnoteRef/>
      </w:r>
      <w:r>
        <w:t xml:space="preserve"> </w:t>
      </w:r>
      <w:r w:rsidR="003E544D" w:rsidRPr="003E544D">
        <w:rPr>
          <w:lang w:val="en-CA"/>
        </w:rPr>
        <w:t>Nunavut Act (S.C. 1993, c. 28)</w:t>
      </w:r>
      <w:r w:rsidR="003E544D">
        <w:rPr>
          <w:lang w:val="en-CA"/>
        </w:rPr>
        <w:t xml:space="preserve"> </w:t>
      </w:r>
      <w:hyperlink r:id="rId6" w:history="1">
        <w:r w:rsidR="003E544D" w:rsidRPr="00CC5792">
          <w:rPr>
            <w:rStyle w:val="Hyperlink"/>
            <w:lang w:val="en-CA"/>
          </w:rPr>
          <w:t>https://laws-lois.justice.gc.ca/eng/acts/n-28.6/</w:t>
        </w:r>
      </w:hyperlink>
    </w:p>
  </w:footnote>
  <w:footnote w:id="8">
    <w:p w14:paraId="79844296" w14:textId="7BCBA946" w:rsidR="0088191C" w:rsidRPr="00923D93" w:rsidRDefault="00923D93" w:rsidP="0088191C">
      <w:pPr>
        <w:pStyle w:val="FootnoteText"/>
        <w:ind w:left="720" w:firstLine="0"/>
        <w:rPr>
          <w:lang w:val="en-CA"/>
        </w:rPr>
      </w:pPr>
      <w:r>
        <w:rPr>
          <w:rStyle w:val="FootnoteReference"/>
        </w:rPr>
        <w:footnoteRef/>
      </w:r>
      <w:r>
        <w:t xml:space="preserve"> </w:t>
      </w:r>
      <w:r>
        <w:rPr>
          <w:lang w:val="en-CA"/>
        </w:rPr>
        <w:t xml:space="preserve">Ottawa </w:t>
      </w:r>
      <w:r w:rsidR="0088191C">
        <w:rPr>
          <w:lang w:val="en-CA"/>
        </w:rPr>
        <w:t xml:space="preserve">Catholic School Board, </w:t>
      </w:r>
      <w:r>
        <w:rPr>
          <w:lang w:val="en-CA"/>
        </w:rPr>
        <w:t>Hiring P</w:t>
      </w:r>
      <w:r w:rsidR="0088191C">
        <w:rPr>
          <w:lang w:val="en-CA"/>
        </w:rPr>
        <w:t xml:space="preserve">ractices (Teachers), March 2021. </w:t>
      </w:r>
      <w:hyperlink r:id="rId7" w:history="1">
        <w:r w:rsidR="0088191C" w:rsidRPr="00CC5792">
          <w:rPr>
            <w:rStyle w:val="Hyperlink"/>
            <w:lang w:val="en-CA"/>
          </w:rPr>
          <w:t>https://docs.google.com/document/d/1D-gRvxYPxO83_scX2HJbNNxEGkRtWPJ_w4ysO5dh528/edit</w:t>
        </w:r>
      </w:hyperlink>
    </w:p>
  </w:footnote>
  <w:footnote w:id="9">
    <w:p w14:paraId="10A17852" w14:textId="46542785" w:rsidR="0088191C" w:rsidRPr="00923D93" w:rsidRDefault="00923D93" w:rsidP="0088191C">
      <w:pPr>
        <w:pStyle w:val="FootnoteText"/>
        <w:ind w:left="720" w:firstLine="0"/>
        <w:rPr>
          <w:lang w:val="en-CA"/>
        </w:rPr>
      </w:pPr>
      <w:r>
        <w:rPr>
          <w:rStyle w:val="FootnoteReference"/>
        </w:rPr>
        <w:footnoteRef/>
      </w:r>
      <w:r>
        <w:t xml:space="preserve"> </w:t>
      </w:r>
      <w:r w:rsidR="0088191C">
        <w:rPr>
          <w:lang w:val="en-CA"/>
        </w:rPr>
        <w:t xml:space="preserve">Ottawa Catholic School Board, </w:t>
      </w:r>
      <w:r w:rsidR="0088191C">
        <w:rPr>
          <w:lang w:val="en-CA"/>
        </w:rPr>
        <w:t>Catholicity of Teaching Personnel</w:t>
      </w:r>
      <w:r w:rsidR="0088191C">
        <w:rPr>
          <w:lang w:val="en-CA"/>
        </w:rPr>
        <w:t>, March 2</w:t>
      </w:r>
      <w:r w:rsidR="0088191C">
        <w:rPr>
          <w:lang w:val="en-CA"/>
        </w:rPr>
        <w:t>000</w:t>
      </w:r>
      <w:r w:rsidR="0088191C">
        <w:rPr>
          <w:lang w:val="en-CA"/>
        </w:rPr>
        <w:t xml:space="preserve">. </w:t>
      </w:r>
      <w:hyperlink r:id="rId8" w:history="1">
        <w:r w:rsidR="0088191C" w:rsidRPr="00CC5792">
          <w:rPr>
            <w:rStyle w:val="Hyperlink"/>
            <w:lang w:val="en-CA"/>
          </w:rPr>
          <w:t>https://docs.google.com/document/d/15pIL9_YMVf8tsn1Xq0Rk4Ich-r2k78MrmDTgvqamrK4/edit</w:t>
        </w:r>
      </w:hyperlink>
    </w:p>
  </w:footnote>
  <w:footnote w:id="10">
    <w:p w14:paraId="27546DB0" w14:textId="399E3634" w:rsidR="00837FE9" w:rsidRPr="00837FE9" w:rsidRDefault="00837FE9" w:rsidP="00837FE9">
      <w:pPr>
        <w:pStyle w:val="FootnoteText"/>
      </w:pPr>
      <w:r>
        <w:rPr>
          <w:rStyle w:val="FootnoteReference"/>
        </w:rPr>
        <w:footnoteRef/>
      </w:r>
      <w:r>
        <w:t xml:space="preserve"> </w:t>
      </w:r>
      <w:r w:rsidRPr="00837FE9">
        <w:t>Ontario Education Act R.S.O. 1990, c. E.2, s. 80 (7).</w:t>
      </w:r>
      <w:r>
        <w:t xml:space="preserve"> </w:t>
      </w:r>
      <w:hyperlink r:id="rId9" w:history="1">
        <w:r w:rsidRPr="00CC5792">
          <w:rPr>
            <w:rStyle w:val="Hyperlink"/>
          </w:rPr>
          <w:t>https://www.ontario.ca/laws/statute/90e02#BK108</w:t>
        </w:r>
      </w:hyperlink>
    </w:p>
  </w:footnote>
  <w:footnote w:id="11">
    <w:p w14:paraId="7B50138F" w14:textId="0D3E2400" w:rsidR="0088191C" w:rsidRPr="00923D93" w:rsidRDefault="00923D93" w:rsidP="0088191C">
      <w:pPr>
        <w:pStyle w:val="FootnoteText"/>
        <w:ind w:left="720" w:firstLine="0"/>
        <w:rPr>
          <w:lang w:val="en-CA"/>
        </w:rPr>
      </w:pPr>
      <w:r>
        <w:rPr>
          <w:rStyle w:val="FootnoteReference"/>
        </w:rPr>
        <w:footnoteRef/>
      </w:r>
      <w:r>
        <w:t xml:space="preserve"> </w:t>
      </w:r>
      <w:r w:rsidR="0088191C">
        <w:rPr>
          <w:lang w:val="en-CA"/>
        </w:rPr>
        <w:t>Ottawa Catholic School Board, C</w:t>
      </w:r>
      <w:r w:rsidR="0088191C">
        <w:rPr>
          <w:lang w:val="en-CA"/>
        </w:rPr>
        <w:t>hapels in Catholic Schools</w:t>
      </w:r>
      <w:r w:rsidR="0088191C">
        <w:rPr>
          <w:lang w:val="en-CA"/>
        </w:rPr>
        <w:t xml:space="preserve">, </w:t>
      </w:r>
      <w:r w:rsidR="0088191C">
        <w:rPr>
          <w:lang w:val="en-CA"/>
        </w:rPr>
        <w:t>January</w:t>
      </w:r>
      <w:r w:rsidR="0088191C">
        <w:rPr>
          <w:lang w:val="en-CA"/>
        </w:rPr>
        <w:t xml:space="preserve"> 200</w:t>
      </w:r>
      <w:r w:rsidR="0088191C">
        <w:rPr>
          <w:lang w:val="en-CA"/>
        </w:rPr>
        <w:t>5</w:t>
      </w:r>
      <w:r w:rsidR="0088191C">
        <w:rPr>
          <w:lang w:val="en-CA"/>
        </w:rPr>
        <w:t>.</w:t>
      </w:r>
      <w:r w:rsidR="006707F3">
        <w:rPr>
          <w:lang w:val="en-CA"/>
        </w:rPr>
        <w:t xml:space="preserve"> </w:t>
      </w:r>
      <w:hyperlink r:id="rId10" w:history="1">
        <w:r w:rsidR="009E558C" w:rsidRPr="00CC5792">
          <w:rPr>
            <w:rStyle w:val="Hyperlink"/>
            <w:lang w:val="en-CA"/>
          </w:rPr>
          <w:t>https://docs.google.com/document/d/1V-GGlLRCp7LdfjQDThExaSkktcUzKcznJfOKZmRvprE/edit</w:t>
        </w:r>
      </w:hyperlink>
    </w:p>
  </w:footnote>
  <w:footnote w:id="12">
    <w:p w14:paraId="55649216" w14:textId="7ECA45CE" w:rsidR="00713802" w:rsidRPr="00923D93" w:rsidRDefault="00923D93" w:rsidP="00713802">
      <w:pPr>
        <w:pStyle w:val="FootnoteText"/>
        <w:ind w:left="720" w:firstLine="0"/>
        <w:rPr>
          <w:lang w:val="en-CA"/>
        </w:rPr>
      </w:pPr>
      <w:r>
        <w:rPr>
          <w:rStyle w:val="FootnoteReference"/>
        </w:rPr>
        <w:footnoteRef/>
      </w:r>
      <w:r>
        <w:t xml:space="preserve"> </w:t>
      </w:r>
      <w:r w:rsidR="00713802">
        <w:rPr>
          <w:lang w:val="en-CA"/>
        </w:rPr>
        <w:t xml:space="preserve">Ottawa Catholic School Board, </w:t>
      </w:r>
      <w:r w:rsidR="00713802">
        <w:rPr>
          <w:lang w:val="en-CA"/>
        </w:rPr>
        <w:t xml:space="preserve">Religious Education: Compulsory for Elementary and Secondary Students, June 2005. </w:t>
      </w:r>
      <w:hyperlink r:id="rId11" w:history="1">
        <w:r w:rsidR="00713802" w:rsidRPr="00CC5792">
          <w:rPr>
            <w:rStyle w:val="Hyperlink"/>
            <w:lang w:val="en-CA"/>
          </w:rPr>
          <w:t>https://docs.google.com/document/d/1qBnNiKxdwu_wUBeN4WvepUXgKWQvkJS8T2PFAHaM3bI/edit</w:t>
        </w:r>
      </w:hyperlink>
    </w:p>
  </w:footnote>
  <w:footnote w:id="13">
    <w:p w14:paraId="4BE1A0BC" w14:textId="1CDC1F4C" w:rsidR="00D844D6" w:rsidRPr="00A116B8" w:rsidRDefault="00A116B8" w:rsidP="00D844D6">
      <w:pPr>
        <w:pStyle w:val="FootnoteText"/>
        <w:ind w:left="720" w:firstLine="0"/>
        <w:rPr>
          <w:lang w:val="en-CA"/>
        </w:rPr>
      </w:pPr>
      <w:r>
        <w:rPr>
          <w:rStyle w:val="FootnoteReference"/>
        </w:rPr>
        <w:footnoteRef/>
      </w:r>
      <w:r>
        <w:t xml:space="preserve"> </w:t>
      </w:r>
      <w:r>
        <w:rPr>
          <w:lang w:val="en-CA"/>
        </w:rPr>
        <w:t>U</w:t>
      </w:r>
      <w:r w:rsidR="00D844D6">
        <w:rPr>
          <w:lang w:val="en-CA"/>
        </w:rPr>
        <w:t>niversal Declaration of Human Rights</w:t>
      </w:r>
      <w:r>
        <w:rPr>
          <w:lang w:val="en-CA"/>
        </w:rPr>
        <w:t>.</w:t>
      </w:r>
      <w:r w:rsidR="00D844D6" w:rsidRPr="00D844D6">
        <w:t xml:space="preserve"> </w:t>
      </w:r>
      <w:hyperlink r:id="rId12" w:history="1">
        <w:r w:rsidR="00D844D6" w:rsidRPr="00CC5792">
          <w:rPr>
            <w:rStyle w:val="Hyperlink"/>
            <w:lang w:val="en-CA"/>
          </w:rPr>
          <w:t>https://www.un.org/en/about-us/universal-declaration-of-human-rights</w:t>
        </w:r>
      </w:hyperlink>
    </w:p>
  </w:footnote>
  <w:footnote w:id="14">
    <w:p w14:paraId="15344BEF" w14:textId="171204DB" w:rsidR="00923D93" w:rsidRPr="004B21DF" w:rsidRDefault="00923D93" w:rsidP="00DC4E9B">
      <w:pPr>
        <w:pStyle w:val="FootnoteText"/>
        <w:ind w:left="720" w:firstLine="0"/>
      </w:pPr>
      <w:r>
        <w:rPr>
          <w:rStyle w:val="FootnoteReference"/>
        </w:rPr>
        <w:footnoteRef/>
      </w:r>
      <w:r>
        <w:t xml:space="preserve"> </w:t>
      </w:r>
      <w:r>
        <w:rPr>
          <w:lang w:val="en-CA"/>
        </w:rPr>
        <w:t xml:space="preserve">Ontario Human Rights </w:t>
      </w:r>
      <w:r w:rsidR="00C078FF">
        <w:rPr>
          <w:lang w:val="en-CA"/>
        </w:rPr>
        <w:t xml:space="preserve">Commission, </w:t>
      </w:r>
      <w:r w:rsidR="00C078FF" w:rsidRPr="00C078FF">
        <w:rPr>
          <w:i/>
          <w:iCs/>
          <w:lang w:val="en-CA"/>
        </w:rPr>
        <w:t>Human Rights and Creed Research and Consultation Report</w:t>
      </w:r>
      <w:r w:rsidR="00C078FF">
        <w:rPr>
          <w:lang w:val="en-CA"/>
        </w:rPr>
        <w:t>,</w:t>
      </w:r>
      <w:r w:rsidR="004B21DF">
        <w:rPr>
          <w:lang w:val="en-CA"/>
        </w:rPr>
        <w:t xml:space="preserve"> </w:t>
      </w:r>
      <w:r w:rsidR="00C078FF">
        <w:rPr>
          <w:lang w:val="en-CA"/>
        </w:rPr>
        <w:t>2013</w:t>
      </w:r>
      <w:r w:rsidR="004B21DF">
        <w:rPr>
          <w:lang w:val="en-CA"/>
        </w:rPr>
        <w:t xml:space="preserve"> </w:t>
      </w:r>
      <w:hyperlink r:id="rId13" w:history="1">
        <w:r w:rsidR="004B21DF" w:rsidRPr="00440A5B">
          <w:rPr>
            <w:rStyle w:val="Hyperlink"/>
          </w:rPr>
          <w:t>https://www.ohrc.on.ca/en/iii-background-and-context/4-systemic-faithism</w:t>
        </w:r>
      </w:hyperlink>
    </w:p>
  </w:footnote>
  <w:footnote w:id="15">
    <w:p w14:paraId="54B1F853" w14:textId="4E135E0D" w:rsidR="00A116B8" w:rsidRDefault="00A116B8" w:rsidP="00AB7A04">
      <w:pPr>
        <w:pStyle w:val="FootnoteText"/>
        <w:ind w:left="720" w:firstLine="0"/>
        <w:rPr>
          <w:lang w:val="en-CA"/>
        </w:rPr>
      </w:pPr>
      <w:r>
        <w:rPr>
          <w:rStyle w:val="FootnoteReference"/>
        </w:rPr>
        <w:footnoteRef/>
      </w:r>
      <w:r>
        <w:t xml:space="preserve"> </w:t>
      </w:r>
      <w:r>
        <w:rPr>
          <w:lang w:val="en-CA"/>
        </w:rPr>
        <w:t>I</w:t>
      </w:r>
      <w:r w:rsidR="00AB7A04">
        <w:rPr>
          <w:lang w:val="en-CA"/>
        </w:rPr>
        <w:t>nternational Covenant on Civil and Political Rights, 1966</w:t>
      </w:r>
      <w:r>
        <w:rPr>
          <w:lang w:val="en-CA"/>
        </w:rPr>
        <w:t>.</w:t>
      </w:r>
      <w:r w:rsidR="00AB7A04">
        <w:rPr>
          <w:lang w:val="en-CA"/>
        </w:rPr>
        <w:t xml:space="preserve"> </w:t>
      </w:r>
      <w:hyperlink r:id="rId14" w:history="1">
        <w:r w:rsidR="00AB7A04" w:rsidRPr="00CC5792">
          <w:rPr>
            <w:rStyle w:val="Hyperlink"/>
            <w:lang w:val="en-CA"/>
          </w:rPr>
          <w:t>https://www.ohchr.org/en/instruments-mechanisms/instruments/international-covenant-civil-and-political-rights</w:t>
        </w:r>
      </w:hyperlink>
    </w:p>
    <w:p w14:paraId="1B733D69" w14:textId="77777777" w:rsidR="00AB7A04" w:rsidRPr="00A116B8" w:rsidRDefault="00AB7A04">
      <w:pPr>
        <w:pStyle w:val="FootnoteText"/>
        <w:rPr>
          <w:lang w:val="en-CA"/>
        </w:rPr>
      </w:pPr>
    </w:p>
  </w:footnote>
  <w:footnote w:id="16">
    <w:p w14:paraId="55C2ACD6" w14:textId="7154CA1E" w:rsidR="00220984" w:rsidRPr="006C0504" w:rsidRDefault="00220984" w:rsidP="006C0504">
      <w:pPr>
        <w:pStyle w:val="FootnoteText"/>
        <w:ind w:left="720" w:firstLine="0"/>
      </w:pPr>
      <w:r>
        <w:rPr>
          <w:rStyle w:val="FootnoteReference"/>
        </w:rPr>
        <w:footnoteRef/>
      </w:r>
      <w:r>
        <w:t xml:space="preserve"> </w:t>
      </w:r>
      <w:r w:rsidR="0086235F">
        <w:t xml:space="preserve">Ontario Superior Court, </w:t>
      </w:r>
      <w:proofErr w:type="spellStart"/>
      <w:r w:rsidR="0014415B" w:rsidRPr="0014415B">
        <w:rPr>
          <w:lang w:val="en-CA"/>
        </w:rPr>
        <w:t>Havercroft</w:t>
      </w:r>
      <w:proofErr w:type="spellEnd"/>
      <w:r w:rsidR="0014415B" w:rsidRPr="0014415B">
        <w:rPr>
          <w:lang w:val="en-CA"/>
        </w:rPr>
        <w:t xml:space="preserve"> v Ontario, 2022 ONSC 6651</w:t>
      </w:r>
      <w:r w:rsidR="0014415B">
        <w:rPr>
          <w:lang w:val="en-CA"/>
        </w:rPr>
        <w:t xml:space="preserve"> </w:t>
      </w:r>
      <w:hyperlink r:id="rId15" w:history="1">
        <w:r w:rsidR="006C0504" w:rsidRPr="00CC5792">
          <w:rPr>
            <w:rStyle w:val="Hyperlink"/>
          </w:rPr>
          <w:t>https://www.canlii.org/en/on/onsc/doc/2022/2022onsc6651/2022onsc6651.html</w:t>
        </w:r>
      </w:hyperlink>
    </w:p>
  </w:footnote>
  <w:footnote w:id="17">
    <w:p w14:paraId="7569BF0F" w14:textId="459EA86F" w:rsidR="00220984" w:rsidRPr="00841713" w:rsidRDefault="00220984" w:rsidP="00841713">
      <w:pPr>
        <w:pStyle w:val="FootnoteText"/>
        <w:ind w:left="720" w:firstLine="0"/>
      </w:pPr>
      <w:r>
        <w:rPr>
          <w:rStyle w:val="FootnoteReference"/>
        </w:rPr>
        <w:footnoteRef/>
      </w:r>
      <w:r>
        <w:t xml:space="preserve"> </w:t>
      </w:r>
      <w:r w:rsidR="00841713">
        <w:t xml:space="preserve">See clause 22 in </w:t>
      </w:r>
      <w:proofErr w:type="spellStart"/>
      <w:r w:rsidR="00841713" w:rsidRPr="0014415B">
        <w:rPr>
          <w:lang w:val="en-CA"/>
        </w:rPr>
        <w:t>Havercroft</w:t>
      </w:r>
      <w:proofErr w:type="spellEnd"/>
      <w:r w:rsidR="00841713" w:rsidRPr="0014415B">
        <w:rPr>
          <w:lang w:val="en-CA"/>
        </w:rPr>
        <w:t xml:space="preserve"> v Ontario, 2022 ONSC 6651</w:t>
      </w:r>
      <w:r w:rsidR="00841713">
        <w:rPr>
          <w:lang w:val="en-CA"/>
        </w:rPr>
        <w:t xml:space="preserve"> </w:t>
      </w:r>
      <w:hyperlink r:id="rId16" w:history="1">
        <w:r w:rsidR="00841713" w:rsidRPr="00CC5792">
          <w:rPr>
            <w:rStyle w:val="Hyperlink"/>
          </w:rPr>
          <w:t>https://www.canlii.org/en/on/onsc/doc/2022/2022onsc6651/2022onsc6651.html</w:t>
        </w:r>
      </w:hyperlink>
    </w:p>
  </w:footnote>
  <w:footnote w:id="18">
    <w:p w14:paraId="156BD15C" w14:textId="70C4F545" w:rsidR="00220984" w:rsidRPr="00F05475" w:rsidRDefault="00220984" w:rsidP="00F05475">
      <w:pPr>
        <w:pStyle w:val="FootnoteText"/>
        <w:ind w:left="720" w:firstLine="0"/>
      </w:pPr>
      <w:r>
        <w:rPr>
          <w:rStyle w:val="FootnoteReference"/>
        </w:rPr>
        <w:footnoteRef/>
      </w:r>
      <w:r w:rsidR="00F05475">
        <w:t xml:space="preserve"> See section 92(12) of the Constitution Act, 1867, 30 &amp; 31 Victoria, c. 3</w:t>
      </w:r>
      <w:r>
        <w:t xml:space="preserve"> </w:t>
      </w:r>
      <w:hyperlink r:id="rId17" w:history="1">
        <w:r w:rsidR="00F05475" w:rsidRPr="00CC5792">
          <w:rPr>
            <w:rStyle w:val="Hyperlink"/>
          </w:rPr>
          <w:t>https://www.canlii.org/en/ca/laws/stat/30---31-vict-c-3/latest/30---31-vict-c-3.html</w:t>
        </w:r>
      </w:hyperlink>
    </w:p>
  </w:footnote>
  <w:footnote w:id="19">
    <w:p w14:paraId="33F3C5B2" w14:textId="66F0C836" w:rsidR="007076B3" w:rsidRPr="00560194" w:rsidRDefault="00560194" w:rsidP="007076B3">
      <w:pPr>
        <w:pStyle w:val="FootnoteText"/>
        <w:ind w:left="720" w:firstLine="0"/>
        <w:rPr>
          <w:lang w:val="en-CA"/>
        </w:rPr>
      </w:pPr>
      <w:r>
        <w:rPr>
          <w:rStyle w:val="FootnoteReference"/>
        </w:rPr>
        <w:footnoteRef/>
      </w:r>
      <w:r>
        <w:t xml:space="preserve"> </w:t>
      </w:r>
      <w:r>
        <w:rPr>
          <w:lang w:val="en-CA"/>
        </w:rPr>
        <w:t>B</w:t>
      </w:r>
      <w:r w:rsidR="007076B3">
        <w:rPr>
          <w:lang w:val="en-CA"/>
        </w:rPr>
        <w:t xml:space="preserve">ritish </w:t>
      </w:r>
      <w:r>
        <w:rPr>
          <w:lang w:val="en-CA"/>
        </w:rPr>
        <w:t>C</w:t>
      </w:r>
      <w:r w:rsidR="007076B3">
        <w:rPr>
          <w:lang w:val="en-CA"/>
        </w:rPr>
        <w:t>olumbia</w:t>
      </w:r>
      <w:r>
        <w:rPr>
          <w:lang w:val="en-CA"/>
        </w:rPr>
        <w:t xml:space="preserve"> Marriage Act</w:t>
      </w:r>
      <w:r w:rsidR="007076B3">
        <w:rPr>
          <w:lang w:val="en-CA"/>
        </w:rPr>
        <w:t xml:space="preserve"> [RSBC 1996] </w:t>
      </w:r>
      <w:hyperlink r:id="rId18" w:history="1">
        <w:r w:rsidR="007076B3" w:rsidRPr="00CC5792">
          <w:rPr>
            <w:rStyle w:val="Hyperlink"/>
            <w:lang w:val="en-CA"/>
          </w:rPr>
          <w:t>https://www.bclaws.gov.bc.ca/civix/document/id/complete/statreg/96282_01#section7</w:t>
        </w:r>
      </w:hyperlink>
    </w:p>
  </w:footnote>
  <w:footnote w:id="20">
    <w:p w14:paraId="497D945C" w14:textId="23566286" w:rsidR="007D12D8" w:rsidRPr="00560194" w:rsidRDefault="00560194" w:rsidP="007D12D8">
      <w:pPr>
        <w:pStyle w:val="FootnoteText"/>
        <w:rPr>
          <w:lang w:val="en-CA"/>
        </w:rPr>
      </w:pPr>
      <w:r>
        <w:rPr>
          <w:rStyle w:val="FootnoteReference"/>
        </w:rPr>
        <w:footnoteRef/>
      </w:r>
      <w:r>
        <w:t xml:space="preserve"> </w:t>
      </w:r>
      <w:r>
        <w:rPr>
          <w:lang w:val="en-CA"/>
        </w:rPr>
        <w:t>Ontario</w:t>
      </w:r>
      <w:r w:rsidR="00A116B8">
        <w:rPr>
          <w:lang w:val="en-CA"/>
        </w:rPr>
        <w:t xml:space="preserve"> Marriage Act</w:t>
      </w:r>
      <w:r w:rsidR="007D12D8">
        <w:rPr>
          <w:lang w:val="en-CA"/>
        </w:rPr>
        <w:t xml:space="preserve">, R.S.O. 1990, c. M3 </w:t>
      </w:r>
      <w:hyperlink r:id="rId19" w:history="1">
        <w:r w:rsidR="007D12D8" w:rsidRPr="00440A5B">
          <w:rPr>
            <w:rStyle w:val="Hyperlink"/>
            <w:lang w:val="en-CA"/>
          </w:rPr>
          <w:t>https://www.ontario.ca/laws/statute/90m03</w:t>
        </w:r>
      </w:hyperlink>
    </w:p>
  </w:footnote>
  <w:footnote w:id="21">
    <w:p w14:paraId="320A6A98" w14:textId="77777777" w:rsidR="006C55A8" w:rsidRPr="00A116B8" w:rsidRDefault="006C55A8" w:rsidP="006C55A8">
      <w:pPr>
        <w:pStyle w:val="FootnoteText"/>
        <w:ind w:left="720" w:firstLine="0"/>
        <w:rPr>
          <w:lang w:val="en-CA"/>
        </w:rPr>
      </w:pPr>
      <w:r>
        <w:rPr>
          <w:rStyle w:val="FootnoteReference"/>
        </w:rPr>
        <w:footnoteRef/>
      </w:r>
      <w:r>
        <w:t xml:space="preserve"> </w:t>
      </w:r>
      <w:r w:rsidRPr="000257A1">
        <w:rPr>
          <w:lang w:val="en-CA"/>
        </w:rPr>
        <w:t>Civil Marriage Act (S.C. 2005, c. 33)</w:t>
      </w:r>
      <w:r>
        <w:rPr>
          <w:lang w:val="en-CA"/>
        </w:rPr>
        <w:t xml:space="preserve">, July 2005, </w:t>
      </w:r>
      <w:hyperlink r:id="rId20" w:history="1">
        <w:r w:rsidRPr="00440A5B">
          <w:rPr>
            <w:rStyle w:val="Hyperlink"/>
            <w:lang w:val="en-CA"/>
          </w:rPr>
          <w:t>https://laws-lois.justice.gc.ca/eng/acts/c-31.5/page-1.html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3F7F" w14:textId="299BD2EA" w:rsidR="002E2F67" w:rsidRPr="002E2F67" w:rsidRDefault="002E2F67">
    <w:pPr>
      <w:pBdr>
        <w:top w:val="nil"/>
        <w:left w:val="nil"/>
        <w:bottom w:val="nil"/>
        <w:right w:val="nil"/>
        <w:between w:val="nil"/>
      </w:pBdr>
      <w:spacing w:line="240" w:lineRule="auto"/>
      <w:ind w:firstLine="0"/>
      <w:rPr>
        <w:color w:val="000000"/>
      </w:rPr>
    </w:pPr>
    <w:r>
      <w:rPr>
        <w:color w:val="000000"/>
      </w:rPr>
      <w:t xml:space="preserve">HAO on Cycle 4 UPR of Canada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861CEA" w:rsidRDefault="00000000">
    <w:pPr>
      <w:pBdr>
        <w:top w:val="nil"/>
        <w:left w:val="nil"/>
        <w:bottom w:val="nil"/>
        <w:right w:val="nil"/>
        <w:between w:val="nil"/>
      </w:pBdr>
      <w:spacing w:line="240" w:lineRule="auto"/>
      <w:ind w:firstLine="0"/>
      <w:rPr>
        <w:color w:val="000000"/>
      </w:rPr>
    </w:pPr>
    <w:r>
      <w:rPr>
        <w:color w:val="000000"/>
      </w:rPr>
      <w:t xml:space="preserve">Humanist Association of Ottawa Submission on the UPR of Canada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59DF"/>
    <w:multiLevelType w:val="multilevel"/>
    <w:tmpl w:val="23221ADA"/>
    <w:lvl w:ilvl="0">
      <w:start w:val="1"/>
      <w:numFmt w:val="decimal"/>
      <w:pStyle w:val="ListBullet5"/>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4715AB4"/>
    <w:multiLevelType w:val="hybridMultilevel"/>
    <w:tmpl w:val="11E60710"/>
    <w:lvl w:ilvl="0" w:tplc="64A6B4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A00072"/>
    <w:multiLevelType w:val="hybridMultilevel"/>
    <w:tmpl w:val="5BA09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10858"/>
    <w:multiLevelType w:val="hybridMultilevel"/>
    <w:tmpl w:val="82B4B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615A0"/>
    <w:multiLevelType w:val="multilevel"/>
    <w:tmpl w:val="9D9A9270"/>
    <w:lvl w:ilvl="0">
      <w:start w:val="1"/>
      <w:numFmt w:val="bullet"/>
      <w:pStyle w:val="ListNumber"/>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4571FE"/>
    <w:multiLevelType w:val="multilevel"/>
    <w:tmpl w:val="B6B00A5A"/>
    <w:lvl w:ilvl="0">
      <w:start w:val="1"/>
      <w:numFmt w:val="decimal"/>
      <w:pStyle w:val="ListNumber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A8B69B5"/>
    <w:multiLevelType w:val="multilevel"/>
    <w:tmpl w:val="2F901BD0"/>
    <w:lvl w:ilvl="0">
      <w:start w:val="1"/>
      <w:numFmt w:val="decimal"/>
      <w:pStyle w:val="ListNumber2"/>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E467EE1"/>
    <w:multiLevelType w:val="multilevel"/>
    <w:tmpl w:val="B896F734"/>
    <w:lvl w:ilvl="0">
      <w:start w:val="1"/>
      <w:numFmt w:val="upperLetter"/>
      <w:pStyle w:val="ListBullet"/>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EBF0717"/>
    <w:multiLevelType w:val="multilevel"/>
    <w:tmpl w:val="691CD9D0"/>
    <w:lvl w:ilvl="0">
      <w:start w:val="1"/>
      <w:numFmt w:val="bullet"/>
      <w:pStyle w:val="ListBullet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8F3ED6"/>
    <w:multiLevelType w:val="multilevel"/>
    <w:tmpl w:val="8D80F2E4"/>
    <w:lvl w:ilvl="0">
      <w:start w:val="1"/>
      <w:numFmt w:val="decimal"/>
      <w:pStyle w:val="ListBullet4"/>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06528CA"/>
    <w:multiLevelType w:val="multilevel"/>
    <w:tmpl w:val="304C5BE2"/>
    <w:lvl w:ilvl="0">
      <w:start w:val="1"/>
      <w:numFmt w:val="decimal"/>
      <w:pStyle w:val="ListBullet2"/>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83864457">
    <w:abstractNumId w:val="7"/>
  </w:num>
  <w:num w:numId="2" w16cid:durableId="2095125134">
    <w:abstractNumId w:val="10"/>
  </w:num>
  <w:num w:numId="3" w16cid:durableId="1106653294">
    <w:abstractNumId w:val="8"/>
  </w:num>
  <w:num w:numId="4" w16cid:durableId="702368163">
    <w:abstractNumId w:val="9"/>
  </w:num>
  <w:num w:numId="5" w16cid:durableId="791289706">
    <w:abstractNumId w:val="0"/>
  </w:num>
  <w:num w:numId="6" w16cid:durableId="1082799963">
    <w:abstractNumId w:val="4"/>
  </w:num>
  <w:num w:numId="7" w16cid:durableId="399790195">
    <w:abstractNumId w:val="6"/>
  </w:num>
  <w:num w:numId="8" w16cid:durableId="871386740">
    <w:abstractNumId w:val="5"/>
  </w:num>
  <w:num w:numId="9" w16cid:durableId="20154524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20934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4377603">
    <w:abstractNumId w:val="2"/>
  </w:num>
  <w:num w:numId="12" w16cid:durableId="1172918617">
    <w:abstractNumId w:val="3"/>
  </w:num>
  <w:num w:numId="13" w16cid:durableId="1807502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CEA"/>
    <w:rsid w:val="000257A1"/>
    <w:rsid w:val="00036EE2"/>
    <w:rsid w:val="00051B1E"/>
    <w:rsid w:val="000D60AA"/>
    <w:rsid w:val="000F0DB2"/>
    <w:rsid w:val="00113E21"/>
    <w:rsid w:val="0014415B"/>
    <w:rsid w:val="0018413C"/>
    <w:rsid w:val="00197172"/>
    <w:rsid w:val="001A352D"/>
    <w:rsid w:val="001D0554"/>
    <w:rsid w:val="00206D13"/>
    <w:rsid w:val="00220984"/>
    <w:rsid w:val="002A4A82"/>
    <w:rsid w:val="002B1322"/>
    <w:rsid w:val="002E047C"/>
    <w:rsid w:val="002E2F67"/>
    <w:rsid w:val="002E3EB7"/>
    <w:rsid w:val="003111FE"/>
    <w:rsid w:val="003169AB"/>
    <w:rsid w:val="0032467A"/>
    <w:rsid w:val="00357FB5"/>
    <w:rsid w:val="0037247F"/>
    <w:rsid w:val="00395123"/>
    <w:rsid w:val="003A3477"/>
    <w:rsid w:val="003D2657"/>
    <w:rsid w:val="003E544D"/>
    <w:rsid w:val="00417C35"/>
    <w:rsid w:val="00420111"/>
    <w:rsid w:val="00491A93"/>
    <w:rsid w:val="0049469E"/>
    <w:rsid w:val="004B21DF"/>
    <w:rsid w:val="004B5945"/>
    <w:rsid w:val="004C4B46"/>
    <w:rsid w:val="00526E63"/>
    <w:rsid w:val="00540AAE"/>
    <w:rsid w:val="00560194"/>
    <w:rsid w:val="006415A6"/>
    <w:rsid w:val="006707F3"/>
    <w:rsid w:val="006C0504"/>
    <w:rsid w:val="006C55A8"/>
    <w:rsid w:val="007076B3"/>
    <w:rsid w:val="00713802"/>
    <w:rsid w:val="00773EBC"/>
    <w:rsid w:val="00795763"/>
    <w:rsid w:val="007D12D8"/>
    <w:rsid w:val="00821A44"/>
    <w:rsid w:val="00837FE9"/>
    <w:rsid w:val="00841713"/>
    <w:rsid w:val="0085527C"/>
    <w:rsid w:val="00861CEA"/>
    <w:rsid w:val="0086235F"/>
    <w:rsid w:val="00866BEE"/>
    <w:rsid w:val="0088191C"/>
    <w:rsid w:val="00891B75"/>
    <w:rsid w:val="009119C7"/>
    <w:rsid w:val="0092290F"/>
    <w:rsid w:val="00923D93"/>
    <w:rsid w:val="00955231"/>
    <w:rsid w:val="009763BE"/>
    <w:rsid w:val="00980786"/>
    <w:rsid w:val="009C4DE6"/>
    <w:rsid w:val="009E558C"/>
    <w:rsid w:val="009F71DF"/>
    <w:rsid w:val="00A116B8"/>
    <w:rsid w:val="00A14FE0"/>
    <w:rsid w:val="00A46E3A"/>
    <w:rsid w:val="00A76729"/>
    <w:rsid w:val="00A769C3"/>
    <w:rsid w:val="00AB7A04"/>
    <w:rsid w:val="00AF6742"/>
    <w:rsid w:val="00B45E17"/>
    <w:rsid w:val="00B51278"/>
    <w:rsid w:val="00B878C6"/>
    <w:rsid w:val="00B93622"/>
    <w:rsid w:val="00BA3C08"/>
    <w:rsid w:val="00BB44C1"/>
    <w:rsid w:val="00BC0841"/>
    <w:rsid w:val="00BE7E9B"/>
    <w:rsid w:val="00BF5A0F"/>
    <w:rsid w:val="00C078FF"/>
    <w:rsid w:val="00CF64A3"/>
    <w:rsid w:val="00D55FD1"/>
    <w:rsid w:val="00D83320"/>
    <w:rsid w:val="00D844D6"/>
    <w:rsid w:val="00D93A36"/>
    <w:rsid w:val="00DB343D"/>
    <w:rsid w:val="00DC4E9B"/>
    <w:rsid w:val="00DF3BB8"/>
    <w:rsid w:val="00E32C45"/>
    <w:rsid w:val="00E53549"/>
    <w:rsid w:val="00E847C0"/>
    <w:rsid w:val="00EE1AA3"/>
    <w:rsid w:val="00F05475"/>
    <w:rsid w:val="00F3415C"/>
    <w:rsid w:val="00F4117C"/>
    <w:rsid w:val="00F8309E"/>
    <w:rsid w:val="00FB4FEC"/>
    <w:rsid w:val="00FD3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7BA257"/>
  <w15:docId w15:val="{1556362A-DF3C-8941-9E2C-A0F01CA9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9"/>
    <w:semiHidden/>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tabs>
        <w:tab w:val="num" w:pos="720"/>
      </w:tabs>
      <w:ind w:left="720" w:firstLine="0"/>
      <w:contextualSpacing/>
    </w:pPr>
  </w:style>
  <w:style w:type="paragraph" w:styleId="ListNumber5">
    <w:name w:val="List Number 5"/>
    <w:basedOn w:val="Normal"/>
    <w:uiPriority w:val="99"/>
    <w:semiHidden/>
    <w:unhideWhenUsed/>
    <w:pPr>
      <w:tabs>
        <w:tab w:val="num" w:pos="720"/>
      </w:tabs>
      <w:ind w:left="720"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styleId="UnresolvedMention">
    <w:name w:val="Unresolved Mention"/>
    <w:basedOn w:val="DefaultParagraphFont"/>
    <w:uiPriority w:val="99"/>
    <w:semiHidden/>
    <w:unhideWhenUsed/>
    <w:rsid w:val="00EE380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ind w:firstLine="0"/>
    </w:pPr>
    <w:tblPr>
      <w:tblStyleRowBandSize w:val="1"/>
      <w:tblStyleColBandSize w:val="1"/>
    </w:tblPr>
    <w:tblStylePr w:type="firstRow">
      <w:tblPr/>
      <w:tcPr>
        <w:tcBorders>
          <w:top w:val="single" w:sz="12" w:space="0" w:color="000000"/>
          <w:left w:val="nil"/>
          <w:bottom w:val="single" w:sz="12" w:space="0" w:color="000000"/>
          <w:right w:val="nil"/>
          <w:insideH w:val="nil"/>
          <w:insideV w:val="nil"/>
        </w:tcBorders>
      </w:tcPr>
    </w:tblStylePr>
  </w:style>
  <w:style w:type="table" w:customStyle="1" w:styleId="a0">
    <w:basedOn w:val="TableNormal"/>
    <w:pPr>
      <w:spacing w:line="240" w:lineRule="auto"/>
      <w:ind w:firstLine="0"/>
    </w:pPr>
    <w:tblPr>
      <w:tblStyleRowBandSize w:val="1"/>
      <w:tblStyleColBandSize w:val="1"/>
    </w:tblPr>
    <w:tblStylePr w:type="firstRow">
      <w:tblPr/>
      <w:tcPr>
        <w:tcBorders>
          <w:top w:val="single" w:sz="12" w:space="0" w:color="000000"/>
          <w:left w:val="nil"/>
          <w:bottom w:val="single" w:sz="12" w:space="0" w:color="000000"/>
          <w:right w:val="nil"/>
          <w:insideH w:val="nil"/>
          <w:insideV w:val="nil"/>
        </w:tcBorders>
      </w:tcPr>
    </w:tblStyle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ind w:firstLine="0"/>
    </w:pPr>
    <w:tblPr>
      <w:tblStyleRowBandSize w:val="1"/>
      <w:tblStyleColBandSize w:val="1"/>
    </w:tblPr>
    <w:tblStylePr w:type="firstRow">
      <w:tblPr/>
      <w:tcPr>
        <w:tcBorders>
          <w:top w:val="single" w:sz="12" w:space="0" w:color="000000"/>
          <w:left w:val="nil"/>
          <w:bottom w:val="single" w:sz="12" w:space="0" w:color="000000"/>
          <w:right w:val="nil"/>
          <w:insideH w:val="nil"/>
          <w:insideV w:val="nil"/>
        </w:tcBorders>
      </w:tcPr>
    </w:tblStylePr>
  </w:style>
  <w:style w:type="table" w:customStyle="1" w:styleId="a8">
    <w:basedOn w:val="TableNormal"/>
    <w:pPr>
      <w:spacing w:line="240" w:lineRule="auto"/>
      <w:ind w:firstLine="0"/>
    </w:pPr>
    <w:tblPr>
      <w:tblStyleRowBandSize w:val="1"/>
      <w:tblStyleColBandSize w:val="1"/>
    </w:tblPr>
  </w:style>
  <w:style w:type="table" w:customStyle="1" w:styleId="a9">
    <w:basedOn w:val="TableNormal"/>
    <w:pPr>
      <w:spacing w:line="240" w:lineRule="auto"/>
      <w:ind w:firstLine="0"/>
    </w:pPr>
    <w:tblPr>
      <w:tblStyleRowBandSize w:val="1"/>
      <w:tblStyleColBandSize w:val="1"/>
    </w:tblPr>
    <w:tblStylePr w:type="firstRow">
      <w:tblPr/>
      <w:tcPr>
        <w:tcBorders>
          <w:top w:val="single" w:sz="12" w:space="0" w:color="000000"/>
          <w:left w:val="nil"/>
          <w:bottom w:val="single" w:sz="12" w:space="0" w:color="000000"/>
          <w:right w:val="nil"/>
          <w:insideH w:val="nil"/>
          <w:insideV w:val="nil"/>
        </w:tcBorders>
      </w:tcPr>
    </w:tblStylePr>
  </w:style>
  <w:style w:type="table" w:customStyle="1" w:styleId="aa">
    <w:basedOn w:val="TableNormal"/>
    <w:pPr>
      <w:spacing w:line="240" w:lineRule="auto"/>
      <w:ind w:firstLine="0"/>
    </w:pPr>
    <w:tblPr>
      <w:tblStyleRowBandSize w:val="1"/>
      <w:tblStyleColBandSize w:val="1"/>
    </w:tblPr>
    <w:tblStylePr w:type="firstRow">
      <w:tblPr/>
      <w:tcPr>
        <w:tcBorders>
          <w:top w:val="single" w:sz="12" w:space="0" w:color="000000"/>
          <w:left w:val="nil"/>
          <w:bottom w:val="single" w:sz="12" w:space="0" w:color="000000"/>
          <w:right w:val="nil"/>
          <w:insideH w:val="nil"/>
          <w:insideV w:val="nil"/>
        </w:tcBorders>
      </w:tcPr>
    </w:tblStylePr>
  </w:style>
  <w:style w:type="table" w:customStyle="1" w:styleId="ab">
    <w:basedOn w:val="TableNormal"/>
    <w:pPr>
      <w:spacing w:line="240" w:lineRule="auto"/>
      <w:ind w:firstLine="0"/>
    </w:pPr>
    <w:tblPr>
      <w:tblStyleRowBandSize w:val="1"/>
      <w:tblStyleColBandSize w:val="1"/>
    </w:tblPr>
    <w:tblStylePr w:type="firstRow">
      <w:tblPr/>
      <w:tcPr>
        <w:tcBorders>
          <w:top w:val="single" w:sz="12" w:space="0" w:color="000000"/>
          <w:left w:val="nil"/>
          <w:bottom w:val="single" w:sz="12" w:space="0" w:color="000000"/>
          <w:right w:val="nil"/>
          <w:insideH w:val="nil"/>
          <w:insideV w:val="nil"/>
        </w:tcBorders>
      </w:tcPr>
    </w:tblStylePr>
  </w:style>
  <w:style w:type="table" w:customStyle="1" w:styleId="ac">
    <w:basedOn w:val="TableNormal"/>
    <w:pPr>
      <w:spacing w:line="240" w:lineRule="auto"/>
      <w:ind w:firstLine="0"/>
    </w:pPr>
    <w:tblPr>
      <w:tblStyleRowBandSize w:val="1"/>
      <w:tblStyleColBandSize w:val="1"/>
    </w:tblPr>
    <w:tblStylePr w:type="firstRow">
      <w:tblPr/>
      <w:tcPr>
        <w:tcBorders>
          <w:top w:val="single" w:sz="12" w:space="0" w:color="000000"/>
          <w:left w:val="nil"/>
          <w:bottom w:val="single" w:sz="12" w:space="0" w:color="000000"/>
          <w:right w:val="nil"/>
          <w:insideH w:val="nil"/>
          <w:insideV w:val="nil"/>
        </w:tcBorders>
      </w:tcPr>
    </w:tblStylePr>
  </w:style>
  <w:style w:type="table" w:customStyle="1" w:styleId="ad">
    <w:basedOn w:val="TableNormal"/>
    <w:pPr>
      <w:spacing w:line="240" w:lineRule="auto"/>
      <w:ind w:firstLine="0"/>
    </w:pPr>
    <w:tblPr>
      <w:tblStyleRowBandSize w:val="1"/>
      <w:tblStyleColBandSize w:val="1"/>
    </w:tblPr>
    <w:tblStylePr w:type="firstRow">
      <w:tblPr/>
      <w:tcPr>
        <w:tcBorders>
          <w:top w:val="single" w:sz="12" w:space="0" w:color="000000"/>
          <w:left w:val="nil"/>
          <w:bottom w:val="single" w:sz="12" w:space="0" w:color="000000"/>
          <w:right w:val="nil"/>
          <w:insideH w:val="nil"/>
          <w:insideV w:val="nil"/>
        </w:tcBorders>
      </w:tcPr>
    </w:tblStylePr>
  </w:style>
  <w:style w:type="table" w:customStyle="1" w:styleId="ae">
    <w:basedOn w:val="TableNormal"/>
    <w:pPr>
      <w:spacing w:line="240" w:lineRule="auto"/>
      <w:ind w:firstLine="0"/>
    </w:pPr>
    <w:tblPr>
      <w:tblStyleRowBandSize w:val="1"/>
      <w:tblStyleColBandSize w:val="1"/>
    </w:tblPr>
    <w:tblStylePr w:type="firstRow">
      <w:tblPr/>
      <w:tcPr>
        <w:tcBorders>
          <w:top w:val="single" w:sz="12" w:space="0" w:color="000000"/>
          <w:left w:val="nil"/>
          <w:bottom w:val="single" w:sz="12" w:space="0" w:color="000000"/>
          <w:right w:val="nil"/>
          <w:insideH w:val="nil"/>
          <w:insideV w:val="nil"/>
        </w:tcBorders>
      </w:tcPr>
    </w:tblStyle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C078FF"/>
    <w:rPr>
      <w:color w:val="919191" w:themeColor="followedHyperlink"/>
      <w:u w:val="single"/>
    </w:rPr>
  </w:style>
  <w:style w:type="paragraph" w:styleId="Revision">
    <w:name w:val="Revision"/>
    <w:hidden/>
    <w:uiPriority w:val="99"/>
    <w:semiHidden/>
    <w:rsid w:val="00D55FD1"/>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3394">
      <w:bodyDiv w:val="1"/>
      <w:marLeft w:val="0"/>
      <w:marRight w:val="0"/>
      <w:marTop w:val="0"/>
      <w:marBottom w:val="0"/>
      <w:divBdr>
        <w:top w:val="none" w:sz="0" w:space="0" w:color="auto"/>
        <w:left w:val="none" w:sz="0" w:space="0" w:color="auto"/>
        <w:bottom w:val="none" w:sz="0" w:space="0" w:color="auto"/>
        <w:right w:val="none" w:sz="0" w:space="0" w:color="auto"/>
      </w:divBdr>
    </w:div>
    <w:div w:id="449398823">
      <w:bodyDiv w:val="1"/>
      <w:marLeft w:val="0"/>
      <w:marRight w:val="0"/>
      <w:marTop w:val="0"/>
      <w:marBottom w:val="0"/>
      <w:divBdr>
        <w:top w:val="none" w:sz="0" w:space="0" w:color="auto"/>
        <w:left w:val="none" w:sz="0" w:space="0" w:color="auto"/>
        <w:bottom w:val="none" w:sz="0" w:space="0" w:color="auto"/>
        <w:right w:val="none" w:sz="0" w:space="0" w:color="auto"/>
      </w:divBdr>
    </w:div>
    <w:div w:id="525678563">
      <w:bodyDiv w:val="1"/>
      <w:marLeft w:val="0"/>
      <w:marRight w:val="0"/>
      <w:marTop w:val="0"/>
      <w:marBottom w:val="0"/>
      <w:divBdr>
        <w:top w:val="none" w:sz="0" w:space="0" w:color="auto"/>
        <w:left w:val="none" w:sz="0" w:space="0" w:color="auto"/>
        <w:bottom w:val="none" w:sz="0" w:space="0" w:color="auto"/>
        <w:right w:val="none" w:sz="0" w:space="0" w:color="auto"/>
      </w:divBdr>
    </w:div>
    <w:div w:id="836966095">
      <w:bodyDiv w:val="1"/>
      <w:marLeft w:val="0"/>
      <w:marRight w:val="0"/>
      <w:marTop w:val="0"/>
      <w:marBottom w:val="0"/>
      <w:divBdr>
        <w:top w:val="none" w:sz="0" w:space="0" w:color="auto"/>
        <w:left w:val="none" w:sz="0" w:space="0" w:color="auto"/>
        <w:bottom w:val="none" w:sz="0" w:space="0" w:color="auto"/>
        <w:right w:val="none" w:sz="0" w:space="0" w:color="auto"/>
      </w:divBdr>
    </w:div>
    <w:div w:id="850679631">
      <w:bodyDiv w:val="1"/>
      <w:marLeft w:val="0"/>
      <w:marRight w:val="0"/>
      <w:marTop w:val="0"/>
      <w:marBottom w:val="0"/>
      <w:divBdr>
        <w:top w:val="none" w:sz="0" w:space="0" w:color="auto"/>
        <w:left w:val="none" w:sz="0" w:space="0" w:color="auto"/>
        <w:bottom w:val="none" w:sz="0" w:space="0" w:color="auto"/>
        <w:right w:val="none" w:sz="0" w:space="0" w:color="auto"/>
      </w:divBdr>
    </w:div>
    <w:div w:id="1162697650">
      <w:bodyDiv w:val="1"/>
      <w:marLeft w:val="0"/>
      <w:marRight w:val="0"/>
      <w:marTop w:val="0"/>
      <w:marBottom w:val="0"/>
      <w:divBdr>
        <w:top w:val="none" w:sz="0" w:space="0" w:color="auto"/>
        <w:left w:val="none" w:sz="0" w:space="0" w:color="auto"/>
        <w:bottom w:val="none" w:sz="0" w:space="0" w:color="auto"/>
        <w:right w:val="none" w:sz="0" w:space="0" w:color="auto"/>
      </w:divBdr>
    </w:div>
    <w:div w:id="1571307302">
      <w:bodyDiv w:val="1"/>
      <w:marLeft w:val="0"/>
      <w:marRight w:val="0"/>
      <w:marTop w:val="0"/>
      <w:marBottom w:val="0"/>
      <w:divBdr>
        <w:top w:val="none" w:sz="0" w:space="0" w:color="auto"/>
        <w:left w:val="none" w:sz="0" w:space="0" w:color="auto"/>
        <w:bottom w:val="none" w:sz="0" w:space="0" w:color="auto"/>
        <w:right w:val="none" w:sz="0" w:space="0" w:color="auto"/>
      </w:divBdr>
    </w:div>
    <w:div w:id="1605310892">
      <w:bodyDiv w:val="1"/>
      <w:marLeft w:val="0"/>
      <w:marRight w:val="0"/>
      <w:marTop w:val="0"/>
      <w:marBottom w:val="0"/>
      <w:divBdr>
        <w:top w:val="none" w:sz="0" w:space="0" w:color="auto"/>
        <w:left w:val="none" w:sz="0" w:space="0" w:color="auto"/>
        <w:bottom w:val="none" w:sz="0" w:space="0" w:color="auto"/>
        <w:right w:val="none" w:sz="0" w:space="0" w:color="auto"/>
      </w:divBdr>
    </w:div>
    <w:div w:id="1640527241">
      <w:bodyDiv w:val="1"/>
      <w:marLeft w:val="0"/>
      <w:marRight w:val="0"/>
      <w:marTop w:val="0"/>
      <w:marBottom w:val="0"/>
      <w:divBdr>
        <w:top w:val="none" w:sz="0" w:space="0" w:color="auto"/>
        <w:left w:val="none" w:sz="0" w:space="0" w:color="auto"/>
        <w:bottom w:val="none" w:sz="0" w:space="0" w:color="auto"/>
        <w:right w:val="none" w:sz="0" w:space="0" w:color="auto"/>
      </w:divBdr>
    </w:div>
    <w:div w:id="1851917004">
      <w:bodyDiv w:val="1"/>
      <w:marLeft w:val="0"/>
      <w:marRight w:val="0"/>
      <w:marTop w:val="0"/>
      <w:marBottom w:val="0"/>
      <w:divBdr>
        <w:top w:val="none" w:sz="0" w:space="0" w:color="auto"/>
        <w:left w:val="none" w:sz="0" w:space="0" w:color="auto"/>
        <w:bottom w:val="none" w:sz="0" w:space="0" w:color="auto"/>
        <w:right w:val="none" w:sz="0" w:space="0" w:color="auto"/>
      </w:divBdr>
    </w:div>
    <w:div w:id="1903980593">
      <w:bodyDiv w:val="1"/>
      <w:marLeft w:val="0"/>
      <w:marRight w:val="0"/>
      <w:marTop w:val="0"/>
      <w:marBottom w:val="0"/>
      <w:divBdr>
        <w:top w:val="none" w:sz="0" w:space="0" w:color="auto"/>
        <w:left w:val="none" w:sz="0" w:space="0" w:color="auto"/>
        <w:bottom w:val="none" w:sz="0" w:space="0" w:color="auto"/>
        <w:right w:val="none" w:sz="0" w:space="0" w:color="auto"/>
      </w:divBdr>
    </w:div>
    <w:div w:id="1924531132">
      <w:bodyDiv w:val="1"/>
      <w:marLeft w:val="0"/>
      <w:marRight w:val="0"/>
      <w:marTop w:val="0"/>
      <w:marBottom w:val="0"/>
      <w:divBdr>
        <w:top w:val="none" w:sz="0" w:space="0" w:color="auto"/>
        <w:left w:val="none" w:sz="0" w:space="0" w:color="auto"/>
        <w:bottom w:val="none" w:sz="0" w:space="0" w:color="auto"/>
        <w:right w:val="none" w:sz="0" w:space="0" w:color="auto"/>
      </w:divBdr>
    </w:div>
    <w:div w:id="1994486802">
      <w:bodyDiv w:val="1"/>
      <w:marLeft w:val="0"/>
      <w:marRight w:val="0"/>
      <w:marTop w:val="0"/>
      <w:marBottom w:val="0"/>
      <w:divBdr>
        <w:top w:val="none" w:sz="0" w:space="0" w:color="auto"/>
        <w:left w:val="none" w:sz="0" w:space="0" w:color="auto"/>
        <w:bottom w:val="none" w:sz="0" w:space="0" w:color="auto"/>
        <w:right w:val="none" w:sz="0" w:space="0" w:color="auto"/>
      </w:divBdr>
    </w:div>
    <w:div w:id="2065178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ttawahumanists.ne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humanism062021@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manism062021@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ottawahumanists.ne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docs.google.com/document/d/15pIL9_YMVf8tsn1Xq0Rk4Ich-r2k78MrmDTgvqamrK4/edit" TargetMode="External"/><Relationship Id="rId13" Type="http://schemas.openxmlformats.org/officeDocument/2006/relationships/hyperlink" Target="https://www.ohrc.on.ca/en/iii-background-and-context/4-systemic-faithism" TargetMode="External"/><Relationship Id="rId18" Type="http://schemas.openxmlformats.org/officeDocument/2006/relationships/hyperlink" Target="https://www.bclaws.gov.bc.ca/civix/document/id/complete/statreg/96282_01#section7" TargetMode="External"/><Relationship Id="rId3" Type="http://schemas.openxmlformats.org/officeDocument/2006/relationships/hyperlink" Target="https://laws-lois.justice.gc.ca/eng/const/page-1.html" TargetMode="External"/><Relationship Id="rId7" Type="http://schemas.openxmlformats.org/officeDocument/2006/relationships/hyperlink" Target="https://docs.google.com/document/d/1D-gRvxYPxO83_scX2HJbNNxEGkRtWPJ_w4ysO5dh528/edit" TargetMode="External"/><Relationship Id="rId12" Type="http://schemas.openxmlformats.org/officeDocument/2006/relationships/hyperlink" Target="https://www.un.org/en/about-us/universal-declaration-of-human-rights" TargetMode="External"/><Relationship Id="rId17" Type="http://schemas.openxmlformats.org/officeDocument/2006/relationships/hyperlink" Target="https://www.canlii.org/en/ca/laws/stat/30---31-vict-c-3/latest/30---31-vict-c-3.html" TargetMode="External"/><Relationship Id="rId2" Type="http://schemas.openxmlformats.org/officeDocument/2006/relationships/hyperlink" Target="https://www.international.gc.ca/world-monde/issues_development-enjeux_developpement/human_rights-droits_homme/freedom-religion-liberte-group_groupe.aspx?lang=eng" TargetMode="External"/><Relationship Id="rId16" Type="http://schemas.openxmlformats.org/officeDocument/2006/relationships/hyperlink" Target="https://www.canlii.org/en/on/onsc/doc/2022/2022onsc6651/2022onsc6651.html" TargetMode="External"/><Relationship Id="rId20" Type="http://schemas.openxmlformats.org/officeDocument/2006/relationships/hyperlink" Target="https://laws-lois.justice.gc.ca/eng/acts/c-31.5/page-1.html" TargetMode="External"/><Relationship Id="rId1" Type="http://schemas.openxmlformats.org/officeDocument/2006/relationships/hyperlink" Target="https://www.international.gc.ca/world-monde/issues_development-enjeux_developpement/human_rights-droits_homme/freedom_religion-liberte_religion.aspx?lang=eng" TargetMode="External"/><Relationship Id="rId6" Type="http://schemas.openxmlformats.org/officeDocument/2006/relationships/hyperlink" Target="https://laws-lois.justice.gc.ca/eng/acts/n-28.6/" TargetMode="External"/><Relationship Id="rId11" Type="http://schemas.openxmlformats.org/officeDocument/2006/relationships/hyperlink" Target="https://docs.google.com/document/d/1qBnNiKxdwu_wUBeN4WvepUXgKWQvkJS8T2PFAHaM3bI/edit" TargetMode="External"/><Relationship Id="rId5" Type="http://schemas.openxmlformats.org/officeDocument/2006/relationships/hyperlink" Target="https://www.justice.gc.ca/eng/rp-pr/csj-sjc/constitution/lawreg-loireg/p1t131.html" TargetMode="External"/><Relationship Id="rId15" Type="http://schemas.openxmlformats.org/officeDocument/2006/relationships/hyperlink" Target="https://www.canlii.org/en/on/onsc/doc/2022/2022onsc6651/2022onsc6651.html" TargetMode="External"/><Relationship Id="rId10" Type="http://schemas.openxmlformats.org/officeDocument/2006/relationships/hyperlink" Target="https://docs.google.com/document/d/1V-GGlLRCp7LdfjQDThExaSkktcUzKcznJfOKZmRvprE/edit" TargetMode="External"/><Relationship Id="rId19" Type="http://schemas.openxmlformats.org/officeDocument/2006/relationships/hyperlink" Target="https://www.ontario.ca/laws/statute/90m03" TargetMode="External"/><Relationship Id="rId4" Type="http://schemas.openxmlformats.org/officeDocument/2006/relationships/hyperlink" Target="https://www.justice.gc.ca/eng/rp-pr/csj-sjc/constitution/lawreg-loireg/p1t121.html" TargetMode="External"/><Relationship Id="rId9" Type="http://schemas.openxmlformats.org/officeDocument/2006/relationships/hyperlink" Target="https://www.ontario.ca/laws/statute/90e02#BK108" TargetMode="External"/><Relationship Id="rId14" Type="http://schemas.openxmlformats.org/officeDocument/2006/relationships/hyperlink" Target="https://www.ohchr.org/en/instruments-mechanisms/instruments/international-covenant-civil-and-political-right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q6mWpt64QEI7vkGcSPFJKNefuQ==">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</go:docsCustomData>
</go:gDocsCustomXmlDataStorage>
</file>

<file path=customXml/itemProps1.xml><?xml version="1.0" encoding="utf-8"?>
<ds:datastoreItem xmlns:ds="http://schemas.openxmlformats.org/officeDocument/2006/customXml" ds:itemID="{6ACED42D-8687-C446-AB76-B28EC1C5709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Hamilton</cp:lastModifiedBy>
  <cp:revision>2</cp:revision>
  <cp:lastPrinted>2023-04-05T10:37:00Z</cp:lastPrinted>
  <dcterms:created xsi:type="dcterms:W3CDTF">2023-04-05T10:58:00Z</dcterms:created>
  <dcterms:modified xsi:type="dcterms:W3CDTF">2023-04-05T10:58:00Z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